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药学专业知识</w:t>
      </w:r>
      <w:r>
        <w:rPr>
          <w:rFonts w:hint="eastAsia" w:ascii="宋体" w:hAnsi="宋体" w:cs="宋体"/>
          <w:b/>
          <w:bCs/>
          <w:color w:val="auto"/>
          <w:sz w:val="22"/>
          <w:szCs w:val="22"/>
          <w:highlight w:val="none"/>
          <w:lang w:eastAsia="zh-CN"/>
        </w:rPr>
        <w:t>（一）</w:t>
      </w:r>
    </w:p>
    <w:p>
      <w:pPr>
        <w:jc w:val="center"/>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2016年真题</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一、最佳选择题</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1.含有喹啉酮</w:t>
      </w:r>
      <w:r>
        <w:rPr>
          <w:rFonts w:hint="eastAsia" w:ascii="宋体" w:hAnsi="宋体" w:cs="宋体"/>
          <w:b w:val="0"/>
          <w:bCs w:val="0"/>
          <w:color w:val="auto"/>
          <w:sz w:val="21"/>
          <w:szCs w:val="21"/>
          <w:highlight w:val="none"/>
          <w:lang w:eastAsia="zh-CN"/>
        </w:rPr>
        <w:t>环</w:t>
      </w:r>
      <w:r>
        <w:rPr>
          <w:rFonts w:hint="eastAsia" w:ascii="宋体" w:hAnsi="宋体" w:eastAsia="宋体" w:cs="宋体"/>
          <w:b w:val="0"/>
          <w:bCs w:val="0"/>
          <w:color w:val="auto"/>
          <w:sz w:val="21"/>
          <w:szCs w:val="21"/>
          <w:highlight w:val="none"/>
          <w:lang w:eastAsia="zh-CN"/>
        </w:rPr>
        <w:t>母核结构的药物是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A.氨苄西林</w:t>
      </w:r>
      <w:r>
        <w:drawing>
          <wp:inline distT="0" distB="0" distL="114300" distR="114300">
            <wp:extent cx="1440180" cy="710565"/>
            <wp:effectExtent l="0" t="0" r="7620" b="13335"/>
            <wp:docPr id="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
                    <pic:cNvPicPr>
                      <a:picLocks noChangeAspect="1"/>
                    </pic:cNvPicPr>
                  </pic:nvPicPr>
                  <pic:blipFill>
                    <a:blip r:embed="rId5"/>
                    <a:stretch>
                      <a:fillRect/>
                    </a:stretch>
                  </pic:blipFill>
                  <pic:spPr>
                    <a:xfrm>
                      <a:off x="0" y="0"/>
                      <a:ext cx="1440180" cy="71056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B.环丙沙星</w:t>
      </w:r>
      <w:r>
        <w:drawing>
          <wp:inline distT="0" distB="0" distL="114300" distR="114300">
            <wp:extent cx="1440180" cy="852170"/>
            <wp:effectExtent l="0" t="0" r="7620" b="508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6"/>
                    <a:stretch>
                      <a:fillRect/>
                    </a:stretch>
                  </pic:blipFill>
                  <pic:spPr>
                    <a:xfrm>
                      <a:off x="0" y="0"/>
                      <a:ext cx="1440180" cy="85217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C.尼群地平</w:t>
      </w:r>
      <w:r>
        <w:drawing>
          <wp:inline distT="0" distB="0" distL="114300" distR="114300">
            <wp:extent cx="1440180" cy="916305"/>
            <wp:effectExtent l="0" t="0" r="7620" b="17145"/>
            <wp:docPr id="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
                    <pic:cNvPicPr>
                      <a:picLocks noChangeAspect="1"/>
                    </pic:cNvPicPr>
                  </pic:nvPicPr>
                  <pic:blipFill>
                    <a:blip r:embed="rId7"/>
                    <a:stretch>
                      <a:fillRect/>
                    </a:stretch>
                  </pic:blipFill>
                  <pic:spPr>
                    <a:xfrm>
                      <a:off x="0" y="0"/>
                      <a:ext cx="1440180" cy="91630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D.格列本脲</w:t>
      </w:r>
      <w:r>
        <w:drawing>
          <wp:inline distT="0" distB="0" distL="114300" distR="114300">
            <wp:extent cx="1440180" cy="563245"/>
            <wp:effectExtent l="0" t="0" r="7620" b="8255"/>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pic:cNvPicPr>
                  </pic:nvPicPr>
                  <pic:blipFill>
                    <a:blip r:embed="rId8"/>
                    <a:stretch>
                      <a:fillRect/>
                    </a:stretch>
                  </pic:blipFill>
                  <pic:spPr>
                    <a:xfrm>
                      <a:off x="0" y="0"/>
                      <a:ext cx="1440180" cy="56324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E.阿昔洛韦</w:t>
      </w:r>
      <w:r>
        <w:drawing>
          <wp:inline distT="0" distB="0" distL="114300" distR="114300">
            <wp:extent cx="1440180" cy="904875"/>
            <wp:effectExtent l="0" t="0" r="7620" b="9525"/>
            <wp:docPr id="2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pic:cNvPicPr>
                      <a:picLocks noChangeAspect="1"/>
                    </pic:cNvPicPr>
                  </pic:nvPicPr>
                  <pic:blipFill>
                    <a:blip r:embed="rId9"/>
                    <a:stretch>
                      <a:fillRect/>
                    </a:stretch>
                  </pic:blipFill>
                  <pic:spPr>
                    <a:xfrm>
                      <a:off x="0" y="0"/>
                      <a:ext cx="1440180" cy="90487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2.临床上药物可以配伍使用或联合使用，若使用不当，可能出现配伍禁忌，下列药物配伍或联合使用中，不合理的是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A.磺胺甲噁唑与甲氧苄啶联合应用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B.地西泮注射液与0.9%氯化钠注射液混合滴注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C.硫酸亚铁片与维生素C片同时服用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D.阿莫西林与克拉维酸联合应用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E.氨苄西林溶于5%葡萄糖注射液后在4小时内滴注</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3.盐酸氯丙嗪注射液与异戊巴比妥钠注射液混合后产生沉淀的原因是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A.水解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B.pH值的变化</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C.还原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D.氧化</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E.聚合</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4.新药IV期临床试验的目的是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A.在健康志原者中检验受试药的安全性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B.在患者中检验受试药的不良反应发生情况</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C.在患者中进行受试药的初步药效学评价</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D.扩大试验，在300例患者中评价受试药的有效性、安全性、利益与风险</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E.受试新药上市后在社会人群中继续进行安全性和有效性评价</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 关于药物理化性质的说法，正确的是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A.弱酸性药物在酸性胃液中解离度低，易在胃中吸收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B.药物的脂溶性高在，则药物在体内的吸收约好</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C.药物的脂水分配制（1gp）用语衡量药物的脂溶性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D.由于肠道比胃的PH值高，所以弱碱性药物在肠道中比在胃中容易洗手</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E.由于体内不同的不为的PH值不同，所以同一药物在体内不同不为的解离不同程度</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6.以共价键方式结合的抗肿瘤药物是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A.尼群地平</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B.乙酰胆碱</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C.氯喹</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D.环磷酰胺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E.普鲁卡因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7.人体胃液约0.9</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eastAsia="zh-CN"/>
        </w:rPr>
        <w:t>1.5，下面最易吸收的药物是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A.奎宁（弱碱 pk</w:t>
      </w:r>
      <w:r>
        <w:rPr>
          <w:rFonts w:hint="eastAsia" w:ascii="宋体" w:hAnsi="宋体" w:eastAsia="宋体" w:cs="宋体"/>
          <w:b w:val="0"/>
          <w:bCs w:val="0"/>
          <w:color w:val="auto"/>
          <w:sz w:val="21"/>
          <w:szCs w:val="21"/>
          <w:highlight w:val="none"/>
          <w:vertAlign w:val="subscript"/>
          <w:lang w:eastAsia="zh-CN"/>
        </w:rPr>
        <w:t>a</w:t>
      </w:r>
      <w:r>
        <w:rPr>
          <w:rFonts w:hint="eastAsia" w:ascii="宋体" w:hAnsi="宋体" w:cs="宋体"/>
          <w:b w:val="0"/>
          <w:bCs w:val="0"/>
          <w:color w:val="auto"/>
          <w:sz w:val="21"/>
          <w:szCs w:val="21"/>
          <w:highlight w:val="none"/>
          <w:vertAlign w:val="subscript"/>
          <w:lang w:val="en-US" w:eastAsia="zh-CN"/>
        </w:rPr>
        <w:t xml:space="preserve"> </w:t>
      </w:r>
      <w:r>
        <w:rPr>
          <w:rFonts w:hint="eastAsia" w:ascii="宋体" w:hAnsi="宋体" w:eastAsia="宋体" w:cs="宋体"/>
          <w:b w:val="0"/>
          <w:bCs w:val="0"/>
          <w:color w:val="auto"/>
          <w:sz w:val="21"/>
          <w:szCs w:val="21"/>
          <w:highlight w:val="none"/>
          <w:lang w:eastAsia="zh-CN"/>
        </w:rPr>
        <w:t>8.0)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B.卡那霉素（弱碱 pk</w:t>
      </w:r>
      <w:r>
        <w:rPr>
          <w:rFonts w:hint="eastAsia" w:ascii="宋体" w:hAnsi="宋体" w:eastAsia="宋体" w:cs="宋体"/>
          <w:b w:val="0"/>
          <w:bCs w:val="0"/>
          <w:color w:val="auto"/>
          <w:sz w:val="21"/>
          <w:szCs w:val="21"/>
          <w:highlight w:val="none"/>
          <w:vertAlign w:val="subscript"/>
          <w:lang w:eastAsia="zh-CN"/>
        </w:rPr>
        <w:t>a</w:t>
      </w:r>
      <w:r>
        <w:rPr>
          <w:rFonts w:hint="eastAsia" w:ascii="宋体" w:hAnsi="宋体" w:cs="宋体"/>
          <w:b w:val="0"/>
          <w:bCs w:val="0"/>
          <w:color w:val="auto"/>
          <w:sz w:val="21"/>
          <w:szCs w:val="21"/>
          <w:highlight w:val="none"/>
          <w:vertAlign w:val="subscript"/>
          <w:lang w:val="en-US" w:eastAsia="zh-CN"/>
        </w:rPr>
        <w:t xml:space="preserve"> </w:t>
      </w:r>
      <w:r>
        <w:rPr>
          <w:rFonts w:hint="eastAsia" w:ascii="宋体" w:hAnsi="宋体" w:eastAsia="宋体" w:cs="宋体"/>
          <w:b w:val="0"/>
          <w:bCs w:val="0"/>
          <w:color w:val="auto"/>
          <w:sz w:val="21"/>
          <w:szCs w:val="21"/>
          <w:highlight w:val="none"/>
          <w:lang w:eastAsia="zh-CN"/>
        </w:rPr>
        <w:t>7.2)</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C.地西泮（弱碱 pk</w:t>
      </w:r>
      <w:r>
        <w:rPr>
          <w:rFonts w:hint="eastAsia" w:ascii="宋体" w:hAnsi="宋体" w:eastAsia="宋体" w:cs="宋体"/>
          <w:b w:val="0"/>
          <w:bCs w:val="0"/>
          <w:color w:val="auto"/>
          <w:sz w:val="21"/>
          <w:szCs w:val="21"/>
          <w:highlight w:val="none"/>
          <w:vertAlign w:val="subscript"/>
          <w:lang w:eastAsia="zh-CN"/>
        </w:rPr>
        <w:t>a</w:t>
      </w:r>
      <w:r>
        <w:rPr>
          <w:rFonts w:hint="eastAsia" w:ascii="宋体" w:hAnsi="宋体" w:cs="宋体"/>
          <w:b w:val="0"/>
          <w:bCs w:val="0"/>
          <w:color w:val="auto"/>
          <w:sz w:val="21"/>
          <w:szCs w:val="21"/>
          <w:highlight w:val="none"/>
          <w:vertAlign w:val="subscript"/>
          <w:lang w:val="en-US" w:eastAsia="zh-CN"/>
        </w:rPr>
        <w:t xml:space="preserve"> </w:t>
      </w:r>
      <w:r>
        <w:rPr>
          <w:rFonts w:hint="eastAsia" w:ascii="宋体" w:hAnsi="宋体" w:eastAsia="宋体" w:cs="宋体"/>
          <w:b w:val="0"/>
          <w:bCs w:val="0"/>
          <w:color w:val="auto"/>
          <w:sz w:val="21"/>
          <w:szCs w:val="21"/>
          <w:highlight w:val="none"/>
          <w:lang w:eastAsia="zh-CN"/>
        </w:rPr>
        <w:t>3.4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D.苯巴比妥（弱酸 7.4）</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E.阿司匹林（弱酸 3.5）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8.属于药物代谢第Ⅱ相反应的是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A.氧化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B.羟基化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C.水解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D.还原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E.乙酰化</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9.适宜作片剂崩解剂的是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A.微晶纤维素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B.甘露醇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C.羧甲基淀粉钠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D.糊精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E.羟丙纤维素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10.关于非无菌液体制剂特点的说法，错误的是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A.分散度大，吸收慢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B.给药途径大，可内服也可外用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C.易引起药物的化学降解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D.携带运输不方便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E.易霉变常需加入防腐剂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11.上课用于静脉注射脂肪乳的乳化剂是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A.阿拉伯胶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B.西黄蓍胶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C.卵磷脂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D.脂防酸山梨坦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E.十二烷基硫酸钠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12.为提高难溶液药物的深解度常需要使用潜溶剂，不能与水形成潜溶剂的物质是（胆固醇）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A．乙醇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B.丙乙醇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C.胆固醇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D.聚乙二醇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E.甘油</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13.关于缓释和控释制剂特点说法错误，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A.减少给药次数，尤其是需要长期用药的慢病患者</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B.血药浓度平稳，可降低药物毒副作用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C.可提高治疗效果减少用药总量</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D.临床用药，剂量方便调整</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E.肝脏首过效应大，生物利用度不如普通制剂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14.药物经皮渗透速率与其理化性有关，透皮速率相对较大的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A.熔点高药物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B.离子型</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C.脂溶性大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D.分子体积大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E.分子极性高 </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15.固体分散体中，药物与载体形成低共溶混合物药物的分散状态是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A.分子状态</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B.胶态</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C.分子复合物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D.微晶态</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E.无定形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16.以下不存在吸收过程的给药方式是，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A.肌肉注射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B.皮下注射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C.椎管给药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D皮内注射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E，静脉注射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17.大部份的药物在胃肠道中最主要的吸引部位是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A.胃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B.小肠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C.盲肠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D.结肠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E.直肠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18.铁剂治疗缺铁性贫血的作用机制是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A.影响酶的活性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B.影响核酸代谢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C.补充体内物质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D.影响机体免疫功能</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E.影响细胞环境</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19.属于对因治疗的药物作用是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A.硝苯地平降血压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B.对乙酰氨基酚降低发热体温</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C.硝酸甘油缓解心绞痛发作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D.聚乙二醇4000治疗便秘</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E.环丙沙星治疗肠道感染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20.呋塞米、氯噻嗪、环戊噻嗪与氢氯噻嗪的效价强度与效能比较见下图，对这四种利尿药的效能和效价强度分析，错误的是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420"/>
        <w:jc w:val="left"/>
        <w:rPr>
          <w:rFonts w:hint="eastAsia" w:ascii="微软雅黑" w:hAnsi="微软雅黑" w:eastAsia="微软雅黑" w:cs="微软雅黑"/>
          <w:b w:val="0"/>
          <w:i w:val="0"/>
          <w:caps w:val="0"/>
          <w:color w:val="333333"/>
          <w:spacing w:val="0"/>
          <w:sz w:val="19"/>
          <w:szCs w:val="19"/>
        </w:rPr>
      </w:pPr>
      <w:r>
        <w:rPr>
          <w:rFonts w:hint="eastAsia" w:ascii="微软雅黑" w:hAnsi="微软雅黑" w:eastAsia="微软雅黑" w:cs="微软雅黑"/>
          <w:b w:val="0"/>
          <w:i w:val="0"/>
          <w:caps w:val="0"/>
          <w:color w:val="333333"/>
          <w:spacing w:val="0"/>
          <w:sz w:val="19"/>
          <w:szCs w:val="19"/>
        </w:rPr>
        <w:drawing>
          <wp:inline distT="0" distB="0" distL="114300" distR="114300">
            <wp:extent cx="3448050" cy="2619375"/>
            <wp:effectExtent l="0" t="0" r="0" b="9525"/>
            <wp:docPr id="19" name="图片 8"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descr="IMG_261"/>
                    <pic:cNvPicPr>
                      <a:picLocks noChangeAspect="1"/>
                    </pic:cNvPicPr>
                  </pic:nvPicPr>
                  <pic:blipFill>
                    <a:blip r:embed="rId10"/>
                    <a:stretch>
                      <a:fillRect/>
                    </a:stretch>
                  </pic:blipFill>
                  <pic:spPr>
                    <a:xfrm>
                      <a:off x="0" y="0"/>
                      <a:ext cx="3448050" cy="2619375"/>
                    </a:xfrm>
                    <a:prstGeom prst="rect">
                      <a:avLst/>
                    </a:prstGeom>
                    <a:noFill/>
                    <a:ln>
                      <a:noFill/>
                    </a:ln>
                  </pic:spPr>
                </pic:pic>
              </a:graphicData>
            </a:graphic>
          </wp:inline>
        </w:drawing>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A.呋塞米的效价强度大于氢氯噻嗪</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B.氯噻嗪的效价强度小于氢氯噻嗪</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C.呋塞米的效能强于氢氯噻嗪</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D.环戊噻嗪与氢氯噻嗪的效能相同</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E.环戊噻嗪的效价强度约为氢氯噻嗪的 30 倍</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21.口服卡马西平的癫痫病患者同时口服避孕药可能会造成避孕失败，其原因是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A.联合用药易导致用药者对避孕药产生耐药性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B.联合用药导致避孕药首过消除发生改变</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C.卡马西平和避孕药互相竞争血浆蛋白结合部位</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D.卡马西平为肝药酶诱导药，加快避孕药的代谢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E.卡马西平为肝药酶抑制药，减慢避孕药的代谢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22.关于药物量效关系的说法，错误的是（奖药物的剂量或浓度改用对数值作图，则量-相应线为直方双曲线）</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A.量效关系是指在一定剂量范围内，药物的剂量与效应具有相关性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B.量效关系可用量-效曲线或浓度-效应曲线表示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C.将药物的剂量或浓度改用对数值作图，则量-相应线为直方双曲线</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D.在动物试验中，量-效曲线以给药剂量为横坐标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E.在离体试验中，量-效曲线以药物浓度为横坐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23.下列给药途径中，产生效应最快的是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A.口服给药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B.经皮给药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C.吸入给药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D.肌内注射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E.皮下注射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24.依据新分类方法，药品不良反应按不同反应的英文名称首字母分为A~H和U九类。其中A类不良反应是指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A.促进微生物生长引起的不良反应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B.家庭遗传缺陷引起的不良反应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C.取决于药物或赋形剂的化学性质引起的不良反应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D.特定给药方式引起的不良反应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E.药物对人体呈剂量相关的不良反应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25.应用地西泮催眠，次晨出现的乏力，困倦等反应属于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A.变态反应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B.特异质反应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C.毒性反应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E.后遗效应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26.患者肝中维生素K环氧化物还原酶发生变异，与香豆素类药物的亲和力降低，需要5~20倍的常规剂量的香豆素类药物才能起到抗凝作用，这种个体差异属于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A.高敏性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B.低敏性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C.变态反应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D.增敏反应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E.脱敏作用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27.结核病人可根据其对异烟肼乙酰化代谢速度的快慢分类异烟肼慢代谢者和快代谢者、异烟肼慢代谢者服用相同剂量异烟肼，其血药浓度比快代谢者高，药物蓄积而异致体内维生素B</w:t>
      </w:r>
      <w:r>
        <w:rPr>
          <w:rFonts w:hint="eastAsia" w:ascii="宋体" w:hAnsi="宋体" w:eastAsia="宋体" w:cs="宋体"/>
          <w:b w:val="0"/>
          <w:bCs w:val="0"/>
          <w:color w:val="auto"/>
          <w:sz w:val="21"/>
          <w:szCs w:val="21"/>
          <w:highlight w:val="none"/>
          <w:vertAlign w:val="subscript"/>
          <w:lang w:eastAsia="zh-CN"/>
        </w:rPr>
        <w:t>6</w:t>
      </w:r>
      <w:r>
        <w:rPr>
          <w:rFonts w:hint="eastAsia" w:ascii="宋体" w:hAnsi="宋体" w:eastAsia="宋体" w:cs="宋体"/>
          <w:b w:val="0"/>
          <w:bCs w:val="0"/>
          <w:color w:val="auto"/>
          <w:sz w:val="21"/>
          <w:szCs w:val="21"/>
          <w:highlight w:val="none"/>
          <w:lang w:eastAsia="zh-CN"/>
        </w:rPr>
        <w:t>缺乏，而异烟肼快代谢者则易发生药物性肝炎甚至肝坏死。白种人多为异烟肼慢代谢者，而黄种人多为异烟肼快代谢者。据此，对不同种族服用异烟肼吓死现出不同不良反应的分析，正确的是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A.异烟肼对白种人和黄种人均易引起肝损害</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B.异烟肼对白种人和黄种人均易诱发神经炎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C.异烟肼对白种人易引起肝损害，对黄种人易诱发神经炎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D.异烟肼对白种人和黄种人均不易诱发神经炎和引起肝损害</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E.异烟肼对白种人易诱发神经炎，对黄种人易引起肝损害</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28.随胆汁排出的药物或代谢物，在肠道转运期间重吸收面返回门静脉的现象是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A.零级代谢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B.首过效应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C.被动扩散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D.肾小管重吸收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E.肠肝循环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29.关于非线性药物动力学特点的说法，正确的是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A.消除呈现一级动力学特征</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B.AUC与剂量成正比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C.剂量增加，消除半衰期延长</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D.平均稳态血药浓度与剂量成正比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E.剂量增加，消除速率常数恒定不变</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30.关于线性药物动力学的说法，错误的是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A.单室模型静脉注射给药，tgC对t作用图，得到直线的斜率为负值</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B.单室模型静脉滴注给药，在滴注开始时可以静注一个负荷剂量，使血药浓度迅速达到或接近稳态浓度</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C.单室模型口服给药，在血药浓度达峰瞬间，吸收速度等于消除速度</w:t>
      </w:r>
    </w:p>
    <w:p>
      <w:pPr>
        <w:rPr>
          <w:rFonts w:hint="eastAsia" w:ascii="宋体" w:hAnsi="宋体" w:eastAsia="宋体" w:cs="宋体"/>
          <w:b w:val="0"/>
          <w:bCs w:val="0"/>
          <w:color w:val="auto"/>
          <w:sz w:val="21"/>
          <w:szCs w:val="21"/>
          <w:highlight w:val="none"/>
          <w:lang w:eastAsia="zh-CN"/>
        </w:rPr>
      </w:pPr>
      <w:r>
        <w:rPr>
          <w:rFonts w:hint="eastAsia" w:ascii="宋体" w:hAnsi="宋体" w:cs="宋体"/>
          <w:b w:val="0"/>
          <w:bCs w:val="0"/>
          <w:color w:val="auto"/>
          <w:sz w:val="21"/>
          <w:szCs w:val="21"/>
          <w:highlight w:val="none"/>
          <w:lang w:val="en-US" w:eastAsia="zh-CN"/>
        </w:rPr>
        <w:t>D.多剂量给药,血药浓度波动与药物半衰期给药间隔时间有关</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E.多剂量给药，相同给药间隔下，半衰期短的药物容易蓄积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31.非无菌药物被某些微生物污染后可能导致其活性降低，所以多数非无菌制剂需进行微生物限度检查，常用于药品微生物限度检查的方法是：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A.平皿法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B.柿量法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C.碘量法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D.色谱法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E.比色法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32.中国药典对药品质量标准中含量（效价）限度的说法，错误的是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A.原料药的含量限度是指有效物质所占的百分比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B.制剂含量限度一般用含量占标示量的百分率表示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C.制剂效价限度一般用效价占标示量的百分率表示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D.抗生素效价限度一般用重量单位（mg）表示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E.原料药含量测定的百分比一般是指重量的百分比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33.临床治疗药物检测的前提是体内药物浓度的准确测定，在体内药物浓度测定中，如果抗凝剂、防腐剂可能与被测的药物发生作用，并对药物浓度的测定产生干扰，测检测样品宜选择</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A.汗液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B.尿液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C.全血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D.血浆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E.血清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34.甘药物采用高效液相色谱法检测，药物响应后信号强度随时间变化的色谱图及参数如下，其中可用于该药物含量测定的参数是</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drawing>
          <wp:inline distT="0" distB="0" distL="114300" distR="114300">
            <wp:extent cx="3362325" cy="2381250"/>
            <wp:effectExtent l="0" t="0" r="9525" b="0"/>
            <wp:docPr id="24" name="图片 9"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IMG_262"/>
                    <pic:cNvPicPr>
                      <a:picLocks noChangeAspect="1"/>
                    </pic:cNvPicPr>
                  </pic:nvPicPr>
                  <pic:blipFill>
                    <a:blip r:embed="rId11"/>
                    <a:stretch>
                      <a:fillRect/>
                    </a:stretch>
                  </pic:blipFill>
                  <pic:spPr>
                    <a:xfrm>
                      <a:off x="0" y="0"/>
                      <a:ext cx="3362325" cy="2381250"/>
                    </a:xfrm>
                    <a:prstGeom prst="rect">
                      <a:avLst/>
                    </a:prstGeom>
                    <a:noFill/>
                    <a:ln>
                      <a:noFill/>
                    </a:ln>
                  </pic:spPr>
                </pic:pic>
              </a:graphicData>
            </a:graphic>
          </wp:inline>
        </w:drawing>
      </w:r>
    </w:p>
    <w:p>
      <w:r>
        <w:rPr>
          <w:rFonts w:hint="eastAsia" w:ascii="宋体" w:hAnsi="宋体" w:eastAsia="宋体" w:cs="宋体"/>
          <w:b w:val="0"/>
          <w:bCs w:val="0"/>
          <w:color w:val="auto"/>
          <w:sz w:val="21"/>
          <w:szCs w:val="21"/>
          <w:highlight w:val="none"/>
          <w:lang w:eastAsia="zh-CN"/>
        </w:rPr>
        <w:t>A.t</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B.t</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C.W</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D.h</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E.a</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35.在苯二氮䓬结构的1，2位开合三氮唑结构，其脂溶性增加，易通过血脑屏障，产生较强的镇静催眠作用的药物是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A.地西泮</w:t>
      </w:r>
      <w:r>
        <w:rPr>
          <w:rFonts w:hint="eastAsia" w:ascii="宋体" w:hAnsi="宋体" w:eastAsia="宋体" w:cs="宋体"/>
          <w:b w:val="0"/>
          <w:bCs w:val="0"/>
          <w:color w:val="auto"/>
          <w:sz w:val="21"/>
          <w:szCs w:val="21"/>
          <w:highlight w:val="none"/>
          <w:lang w:eastAsia="zh-CN"/>
        </w:rPr>
        <w:drawing>
          <wp:inline distT="0" distB="0" distL="114300" distR="114300">
            <wp:extent cx="1609725" cy="1314450"/>
            <wp:effectExtent l="0" t="0" r="9525" b="0"/>
            <wp:docPr id="22" name="图片 10"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descr="IMG_263"/>
                    <pic:cNvPicPr>
                      <a:picLocks noChangeAspect="1"/>
                    </pic:cNvPicPr>
                  </pic:nvPicPr>
                  <pic:blipFill>
                    <a:blip r:embed="rId12"/>
                    <a:stretch>
                      <a:fillRect/>
                    </a:stretch>
                  </pic:blipFill>
                  <pic:spPr>
                    <a:xfrm>
                      <a:off x="0" y="0"/>
                      <a:ext cx="1609725" cy="13144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B.奥沙西泮</w:t>
      </w:r>
      <w:r>
        <w:rPr>
          <w:rFonts w:hint="eastAsia" w:ascii="宋体" w:hAnsi="宋体" w:eastAsia="宋体" w:cs="宋体"/>
          <w:b w:val="0"/>
          <w:bCs w:val="0"/>
          <w:color w:val="auto"/>
          <w:sz w:val="21"/>
          <w:szCs w:val="21"/>
          <w:highlight w:val="none"/>
          <w:lang w:eastAsia="zh-CN"/>
        </w:rPr>
        <w:drawing>
          <wp:inline distT="0" distB="0" distL="114300" distR="114300">
            <wp:extent cx="1381125" cy="1085850"/>
            <wp:effectExtent l="0" t="0" r="9525" b="0"/>
            <wp:docPr id="25" name="图片 11"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descr="IMG_264"/>
                    <pic:cNvPicPr>
                      <a:picLocks noChangeAspect="1"/>
                    </pic:cNvPicPr>
                  </pic:nvPicPr>
                  <pic:blipFill>
                    <a:blip r:embed="rId13"/>
                    <a:stretch>
                      <a:fillRect/>
                    </a:stretch>
                  </pic:blipFill>
                  <pic:spPr>
                    <a:xfrm>
                      <a:off x="0" y="0"/>
                      <a:ext cx="1381125" cy="10858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C.氟西泮</w:t>
      </w:r>
      <w:r>
        <w:rPr>
          <w:rFonts w:hint="eastAsia" w:ascii="宋体" w:hAnsi="宋体" w:eastAsia="宋体" w:cs="宋体"/>
          <w:b w:val="0"/>
          <w:bCs w:val="0"/>
          <w:color w:val="auto"/>
          <w:sz w:val="21"/>
          <w:szCs w:val="21"/>
          <w:highlight w:val="none"/>
          <w:lang w:eastAsia="zh-CN"/>
        </w:rPr>
        <w:drawing>
          <wp:inline distT="0" distB="0" distL="114300" distR="114300">
            <wp:extent cx="2162175" cy="1571625"/>
            <wp:effectExtent l="0" t="0" r="9525" b="9525"/>
            <wp:docPr id="23" name="图片 12"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descr="IMG_265"/>
                    <pic:cNvPicPr>
                      <a:picLocks noChangeAspect="1"/>
                    </pic:cNvPicPr>
                  </pic:nvPicPr>
                  <pic:blipFill>
                    <a:blip r:embed="rId14"/>
                    <a:stretch>
                      <a:fillRect/>
                    </a:stretch>
                  </pic:blipFill>
                  <pic:spPr>
                    <a:xfrm>
                      <a:off x="0" y="0"/>
                      <a:ext cx="2162175" cy="157162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D.阿昔唑仑</w:t>
      </w:r>
      <w:r>
        <w:rPr>
          <w:rFonts w:hint="eastAsia" w:ascii="宋体" w:hAnsi="宋体" w:eastAsia="宋体" w:cs="宋体"/>
          <w:b w:val="0"/>
          <w:bCs w:val="0"/>
          <w:color w:val="auto"/>
          <w:sz w:val="21"/>
          <w:szCs w:val="21"/>
          <w:highlight w:val="none"/>
          <w:lang w:eastAsia="zh-CN"/>
        </w:rPr>
        <w:drawing>
          <wp:inline distT="0" distB="0" distL="114300" distR="114300">
            <wp:extent cx="1600200" cy="1543050"/>
            <wp:effectExtent l="0" t="0" r="0" b="0"/>
            <wp:docPr id="20" name="图片 13"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descr="IMG_266"/>
                    <pic:cNvPicPr>
                      <a:picLocks noChangeAspect="1"/>
                    </pic:cNvPicPr>
                  </pic:nvPicPr>
                  <pic:blipFill>
                    <a:blip r:embed="rId15"/>
                    <a:stretch>
                      <a:fillRect/>
                    </a:stretch>
                  </pic:blipFill>
                  <pic:spPr>
                    <a:xfrm>
                      <a:off x="0" y="0"/>
                      <a:ext cx="1600200" cy="15430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E．氟地西泮</w:t>
      </w:r>
      <w:r>
        <w:rPr>
          <w:rFonts w:hint="eastAsia" w:ascii="宋体" w:hAnsi="宋体" w:eastAsia="宋体" w:cs="宋体"/>
          <w:b w:val="0"/>
          <w:bCs w:val="0"/>
          <w:color w:val="auto"/>
          <w:sz w:val="21"/>
          <w:szCs w:val="21"/>
          <w:highlight w:val="none"/>
          <w:lang w:eastAsia="zh-CN"/>
        </w:rPr>
        <w:drawing>
          <wp:inline distT="0" distB="0" distL="114300" distR="114300">
            <wp:extent cx="1466850" cy="1276350"/>
            <wp:effectExtent l="0" t="0" r="0" b="0"/>
            <wp:docPr id="26" name="图片 14"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descr="IMG_267"/>
                    <pic:cNvPicPr>
                      <a:picLocks noChangeAspect="1"/>
                    </pic:cNvPicPr>
                  </pic:nvPicPr>
                  <pic:blipFill>
                    <a:blip r:embed="rId16"/>
                    <a:stretch>
                      <a:fillRect/>
                    </a:stretch>
                  </pic:blipFill>
                  <pic:spPr>
                    <a:xfrm>
                      <a:off x="0" y="0"/>
                      <a:ext cx="1466850" cy="12763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36.非经典抗精神病药利培酮（</w:t>
      </w:r>
      <w:r>
        <w:rPr>
          <w:rFonts w:hint="eastAsia" w:ascii="宋体" w:hAnsi="宋体" w:eastAsia="宋体" w:cs="宋体"/>
          <w:b w:val="0"/>
          <w:bCs w:val="0"/>
          <w:color w:val="auto"/>
          <w:sz w:val="21"/>
          <w:szCs w:val="21"/>
          <w:highlight w:val="none"/>
          <w:lang w:eastAsia="zh-CN"/>
        </w:rPr>
        <w:drawing>
          <wp:inline distT="0" distB="0" distL="114300" distR="114300">
            <wp:extent cx="1457325" cy="628650"/>
            <wp:effectExtent l="0" t="0" r="9525" b="0"/>
            <wp:docPr id="16" name="图片 15"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IMG_268"/>
                    <pic:cNvPicPr>
                      <a:picLocks noChangeAspect="1"/>
                    </pic:cNvPicPr>
                  </pic:nvPicPr>
                  <pic:blipFill>
                    <a:blip r:embed="rId17"/>
                    <a:stretch>
                      <a:fillRect/>
                    </a:stretch>
                  </pic:blipFill>
                  <pic:spPr>
                    <a:xfrm>
                      <a:off x="0" y="0"/>
                      <a:ext cx="1457325" cy="6286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t>）消除性代谢产物是</w:t>
      </w:r>
      <w:r>
        <w:rPr>
          <w:rFonts w:hint="eastAsia" w:ascii="宋体" w:hAnsi="宋体" w:eastAsia="宋体" w:cs="宋体"/>
          <w:b w:val="0"/>
          <w:bCs w:val="0"/>
          <w:color w:val="auto"/>
          <w:sz w:val="21"/>
          <w:szCs w:val="21"/>
          <w:highlight w:val="none"/>
          <w:lang w:eastAsia="zh-CN"/>
        </w:rPr>
        <w:br w:type="textWrapping"/>
      </w:r>
      <w:r>
        <w:drawing>
          <wp:inline distT="0" distB="0" distL="114300" distR="114300">
            <wp:extent cx="5272405" cy="1362710"/>
            <wp:effectExtent l="0" t="0" r="4445" b="889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8"/>
                    <a:stretch>
                      <a:fillRect/>
                    </a:stretch>
                  </pic:blipFill>
                  <pic:spPr>
                    <a:xfrm>
                      <a:off x="0" y="0"/>
                      <a:ext cx="5272405" cy="1362710"/>
                    </a:xfrm>
                    <a:prstGeom prst="rect">
                      <a:avLst/>
                    </a:prstGeom>
                    <a:noFill/>
                    <a:ln>
                      <a:noFill/>
                    </a:ln>
                  </pic:spPr>
                </pic:pic>
              </a:graphicData>
            </a:graphic>
          </wp:inline>
        </w:drawing>
      </w:r>
    </w:p>
    <w:p>
      <w:r>
        <w:drawing>
          <wp:inline distT="0" distB="0" distL="114300" distR="114300">
            <wp:extent cx="5268595" cy="2733675"/>
            <wp:effectExtent l="0" t="0" r="8255" b="9525"/>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9"/>
                    <a:stretch>
                      <a:fillRect/>
                    </a:stretch>
                  </pic:blipFill>
                  <pic:spPr>
                    <a:xfrm>
                      <a:off x="0" y="0"/>
                      <a:ext cx="5268595" cy="2733675"/>
                    </a:xfrm>
                    <a:prstGeom prst="rect">
                      <a:avLst/>
                    </a:prstGeom>
                    <a:noFill/>
                    <a:ln>
                      <a:noFill/>
                    </a:ln>
                  </pic:spPr>
                </pic:pic>
              </a:graphicData>
            </a:graphic>
          </wp:inline>
        </w:drawing>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37.属于糖皮质激素类平喘药的是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A.茶碱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B.布地奈德</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C.噻托溴铵</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D.孟鲁司特</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E.沙丁胺醇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38.关于维拉帕米</w:t>
      </w:r>
      <w:r>
        <w:drawing>
          <wp:inline distT="0" distB="0" distL="114300" distR="114300">
            <wp:extent cx="1800225" cy="623570"/>
            <wp:effectExtent l="0" t="0" r="9525" b="5080"/>
            <wp:docPr id="1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
                    <pic:cNvPicPr>
                      <a:picLocks noChangeAspect="1"/>
                    </pic:cNvPicPr>
                  </pic:nvPicPr>
                  <pic:blipFill>
                    <a:blip r:embed="rId20"/>
                    <a:stretch>
                      <a:fillRect/>
                    </a:stretch>
                  </pic:blipFill>
                  <pic:spPr>
                    <a:xfrm>
                      <a:off x="0" y="0"/>
                      <a:ext cx="1800225" cy="62357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t>结构特征和作用的说法，错误的是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A.属于芳烷基胺类的钙通道阻滞剂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B.含有甲胺结构，易发生N-脱甲基化代谢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C.具有碱性，易被强酸分析</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D.结构中含有手性碳原子，现仍用外消旋体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E.通常口服给药，易被吸收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39.依那普利是前体药物,口服给药后在体内水解味依那普利拉,具体如下:</w:t>
      </w:r>
      <w:r>
        <w:rPr>
          <w:rFonts w:hint="eastAsia" w:ascii="宋体" w:hAnsi="宋体" w:eastAsia="宋体" w:cs="宋体"/>
          <w:b w:val="0"/>
          <w:bCs w:val="0"/>
          <w:color w:val="auto"/>
          <w:sz w:val="21"/>
          <w:szCs w:val="21"/>
          <w:highlight w:val="none"/>
          <w:lang w:eastAsia="zh-CN"/>
        </w:rPr>
        <w:br w:type="textWrapping"/>
      </w:r>
      <w:r>
        <w:drawing>
          <wp:inline distT="0" distB="0" distL="114300" distR="114300">
            <wp:extent cx="5274310" cy="1242060"/>
            <wp:effectExtent l="0" t="0" r="2540" b="1524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pic:cNvPicPr>
                      <a:picLocks noChangeAspect="1"/>
                    </pic:cNvPicPr>
                  </pic:nvPicPr>
                  <pic:blipFill>
                    <a:blip r:embed="rId21"/>
                    <a:stretch>
                      <a:fillRect/>
                    </a:stretch>
                  </pic:blipFill>
                  <pic:spPr>
                    <a:xfrm>
                      <a:off x="0" y="0"/>
                      <a:ext cx="5274310" cy="1242060"/>
                    </a:xfrm>
                    <a:prstGeom prst="rect">
                      <a:avLst/>
                    </a:prstGeom>
                    <a:noFill/>
                    <a:ln>
                      <a:noFill/>
                    </a:ln>
                  </pic:spPr>
                </pic:pic>
              </a:graphicData>
            </a:graphic>
          </wp:inline>
        </w:drawing>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下列关于依那普利的说法正确的是（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A.依那普利是含有苯丙氨酸结构的药物</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B.是依那普利分子中只含有4个手性中心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C.口服吸收极差，只能静脉注射给药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 依那普利结构中含有碱性的赖氨酸基团，是产生药效的关键药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 依那普利代谢依那普利拉，具有抑制ACE作用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40.根据磺酰脲类降糖药的构效关系，当脲上取代基为甲基环己基时，甲基阻碍环己烷上的羟基化反应，因此具有高效、长效的降血糖作用。下列降糖药中，具有上述结构特征的是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A.格列齐特</w:t>
      </w:r>
      <w:r>
        <w:drawing>
          <wp:inline distT="0" distB="0" distL="114300" distR="114300">
            <wp:extent cx="1440180" cy="653415"/>
            <wp:effectExtent l="0" t="0" r="7620" b="13335"/>
            <wp:docPr id="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0"/>
                    <pic:cNvPicPr>
                      <a:picLocks noChangeAspect="1"/>
                    </pic:cNvPicPr>
                  </pic:nvPicPr>
                  <pic:blipFill>
                    <a:blip r:embed="rId22"/>
                    <a:stretch>
                      <a:fillRect/>
                    </a:stretch>
                  </pic:blipFill>
                  <pic:spPr>
                    <a:xfrm>
                      <a:off x="0" y="0"/>
                      <a:ext cx="1440180" cy="65341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B.格列本脲</w:t>
      </w:r>
      <w:r>
        <w:drawing>
          <wp:inline distT="0" distB="0" distL="114300" distR="114300">
            <wp:extent cx="1440180" cy="602615"/>
            <wp:effectExtent l="0" t="0" r="7620" b="6985"/>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23"/>
                    <a:stretch>
                      <a:fillRect/>
                    </a:stretch>
                  </pic:blipFill>
                  <pic:spPr>
                    <a:xfrm>
                      <a:off x="0" y="0"/>
                      <a:ext cx="1440180" cy="60261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C.格列吡嗪</w:t>
      </w:r>
      <w:r>
        <w:drawing>
          <wp:inline distT="0" distB="0" distL="114300" distR="114300">
            <wp:extent cx="1440180" cy="827405"/>
            <wp:effectExtent l="0" t="0" r="7620" b="10795"/>
            <wp:docPr id="1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2"/>
                    <pic:cNvPicPr>
                      <a:picLocks noChangeAspect="1"/>
                    </pic:cNvPicPr>
                  </pic:nvPicPr>
                  <pic:blipFill>
                    <a:blip r:embed="rId24"/>
                    <a:stretch>
                      <a:fillRect/>
                    </a:stretch>
                  </pic:blipFill>
                  <pic:spPr>
                    <a:xfrm>
                      <a:off x="0" y="0"/>
                      <a:ext cx="1440180" cy="82740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D.格列喹酮</w:t>
      </w:r>
      <w:r>
        <w:drawing>
          <wp:inline distT="0" distB="0" distL="114300" distR="114300">
            <wp:extent cx="1440180" cy="709930"/>
            <wp:effectExtent l="0" t="0" r="7620" b="13970"/>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pic:cNvPicPr>
                      <a:picLocks noChangeAspect="1"/>
                    </pic:cNvPicPr>
                  </pic:nvPicPr>
                  <pic:blipFill>
                    <a:blip r:embed="rId25"/>
                    <a:stretch>
                      <a:fillRect/>
                    </a:stretch>
                  </pic:blipFill>
                  <pic:spPr>
                    <a:xfrm>
                      <a:off x="0" y="0"/>
                      <a:ext cx="1440180" cy="70993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E.格列美脲</w:t>
      </w:r>
      <w:r>
        <w:drawing>
          <wp:inline distT="0" distB="0" distL="114300" distR="114300">
            <wp:extent cx="1440180" cy="1104265"/>
            <wp:effectExtent l="0" t="0" r="7620" b="635"/>
            <wp:docPr id="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4"/>
                    <pic:cNvPicPr>
                      <a:picLocks noChangeAspect="1"/>
                    </pic:cNvPicPr>
                  </pic:nvPicPr>
                  <pic:blipFill>
                    <a:blip r:embed="rId26"/>
                    <a:stretch>
                      <a:fillRect/>
                    </a:stretch>
                  </pic:blipFill>
                  <pic:spPr>
                    <a:xfrm>
                      <a:off x="0" y="0"/>
                      <a:ext cx="1440180" cy="1104265"/>
                    </a:xfrm>
                    <a:prstGeom prst="rect">
                      <a:avLst/>
                    </a:prstGeom>
                    <a:noFill/>
                    <a:ln>
                      <a:noFill/>
                    </a:ln>
                  </pic:spPr>
                </pic:pic>
              </a:graphicData>
            </a:graphic>
          </wp:inline>
        </w:drawing>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二、配伍选择题</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【41～42】</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A.水解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B.聚合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C.异构化</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D.氧化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E.脱羧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41.盐酸普鲁卡因（</w:t>
      </w:r>
      <w:r>
        <w:drawing>
          <wp:inline distT="0" distB="0" distL="114300" distR="114300">
            <wp:extent cx="1800225" cy="312420"/>
            <wp:effectExtent l="0" t="0" r="9525" b="11430"/>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27"/>
                    <a:stretch>
                      <a:fillRect/>
                    </a:stretch>
                  </pic:blipFill>
                  <pic:spPr>
                    <a:xfrm>
                      <a:off x="0" y="0"/>
                      <a:ext cx="1800225" cy="31242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t>）在水溶液中易发生降解，降解的过程，首先会在酯键处断开在水溶液中已发生降解，降解的过程，首先会在酯键处断开，分解成对氨基苯甲酸与二乙氨基乙醇；对氨基苯甲酸还可继续发生变化，生成有色物质，同时在一定条件下又能发生脱羧反应，生成有毒的苯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41.盐酸普鲁卡因在溶液中发生的第一步降解反应是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42.盐酸普鲁卡因溶液发黄的原因是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【43～45】</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A.解离多 重吸收少 排泄快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B.解离少 重吸收多 排泄慢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C.解离多 重吸收少 排泄慢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D.解离少 重吸收少 排泄快</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E.解离多 重吸收多.排泄快</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43.肾小管中，弱酸在酸性尿液中</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44.肾小管中，弱酸在碱性尿液中</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45.肾小管中，弱碱在酸性尿液中</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【46～48】</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A.羟基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B.硫醚</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C.羧酸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D.卤素</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E.酰胺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46.可氯化成亚砜或砜，使极性增加的官能团是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47.有较强的吸电子性，可增强脂溶性及药物作用时间的管能团是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48.可与醇类成酯，使脂溶性境大，利于吸引的官能团是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【49～50】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A.甲基化结合反应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B.与硫酸的结合反应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C.与谷胱甘肽的结合反应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D.与葡萄糖醛酸的结合反应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E与氨基酸的结合反应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49.含有甲磺酸酯结构的抗肿瘤药物白消安，在体内的相代谢反应是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50.含有儿茶酚胺结构的肾上腺素，在体内发生COMT失活代谢反应是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【51～53】</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A.3min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B.5min</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C.15min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D.30min</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E.60min</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51.普通片剂的崩解时限是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52.泡腾片的崩解时限是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53.薄膜包衣片的崩解时限是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【54～55】</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A.分散相乳滴（Zeta）点位降低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B.分散相连续相存在密度差</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C.乳化剂类型改变</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D.乳化剂失去乳化作用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E.微生物的作用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乳剂属于热力学不稳定的非均相分散体系。制成后，放置过程中若你故意出现分层、絮凝等不稳定现象</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54.若出现的分层现象经振摇后能恢复原状，其原因是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55.若出现的絮凝现象经振摇后能恢复原状，其原因是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【56～57】</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A.增溶剂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B.防腐剂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C.矫味剂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D.着色剂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E.潜溶剂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56.液体制剂中，苯甲酸属于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57.液体制剂中，薄荷挥发油属于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【58～60】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A.常规脂质体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B.微球</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C.纳米囊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D.PH敏感脂质体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E.免疫脂质体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58.常用作栓剂治疗给药的靶向制剂是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59.具有主动靶向作用的靶向制剂是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60.基于病变组织与正常组织间酸碱性差异的靶向制剂是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【61～63】</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A.渗透压调节剂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B.增溶剂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C.抑菌剂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D.稳定剂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E.止痛剂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61注射剂处方中亚硫酸钠的作用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62注射剂处方中氯化钠的作用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63注射剂处方中伯洛沙姆188的作用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【64～66】</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A.环糊精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B.液状石蜡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C.羊毛脂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D.七氟丙烷</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E.硬脂醇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64.用于调节缓释制剂中药物释放速度的是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65.可用于增加难溶性药物的溶解度的是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66.以PEG</w:t>
      </w:r>
      <w:r>
        <w:rPr>
          <w:rFonts w:hint="eastAsia" w:ascii="宋体" w:hAnsi="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eastAsia="zh-CN"/>
        </w:rPr>
        <w:t>6000为滴丸基质时，可用作冷凝液的是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【67～69】</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A.滤过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B.简单扩散</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C.易化扩散</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D.主动转运</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E.膜动转运</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67.借助载体，由膜 的高浓度一侧向低浓度一侧转运，不消耗能量的药物转运方式是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68.扩散速度取决于膜 两侧药物的浓度梯度、药物的脂水分配系数及药物在膜内扩散速度的药物转动方式是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69.借助载体或酶促系统，消耗机体能量，从膜的低浓度一侧向高浓度一侧转运的药物转运方式是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【70～71】</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A.药物的吸收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B.药物的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C.药物的代谢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D.药物的</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E.药物的消除</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70.药物从给药部位进入体循环的过程是（药物的吸收）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71.药物从体内</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【72～73】</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A.影响机体免疫功能</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B.影响</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C.影响细胞膜离子通道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 阻断受体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E.干扰叶酸代谢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72.阿托品的作用机制是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73.73.硝苯地平的作用机制是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【74～76】</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A.对受体亲和力强，无内在活性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B.对受体亲和力强，内在活性弱</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C.对受体亲和力强，内在活性强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D.对受无体亲和力，无内在活性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E.对受体亲和力弱，内在活性弱</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74.完全激动药的特点是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75.部分激动药的特点是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76.拮抗药的特点是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【77～79】</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A.机体连续多次用药后，其反应性降低，需加大剂量才能维持原有疗效的现象</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B.反复使用具有依赖性特征的药物，产生一种适应状态，中断用药后产生的一系列强烈的症状或损害</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C.病原微生物对抗菌药的敏感性降低甚至消失的现象</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D.连续用药后，可使机体对药物产生生理/心理的需求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E.长期使用拮抗药造成受体数量或敏感性提高的现象</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77.戒断综合征是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78.耐受性是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79.耐药性是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【80～81】</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A.作用增强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B.作用减弱</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C.L1/2延长，作用增强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D.L1/2缩短，作用减弱</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E.游离药物浓度下降</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80.肝功能不全时，使用经肝脏代谢或活性的药物（如可的松），可出现</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81.营养不良时，患者血浆蛋白含量减少，使用蛋白结合律高的药物，可出现</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【82～84】</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A.药源性急性胃溃疡</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B.药源性肝病</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C.药源性耳聋</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D.药源性心血管损害</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E.药源性血管神经性水肿</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82.地高辛易引起</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83.庆大霉素易引起</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84.利福平易引起</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【85～86】</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A.镇静、抗惊厥</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B.预防心绞痛</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C.抗心律失常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D.阻滞麻醉</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E.导泻</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85.静脉滴注硫酸镁可用于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86.口服硫酸镁可用于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【87～88】</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A.消除率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B.速率常数</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C.生物半衰期</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D.绝对生物利用度</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E.相对生物利用度</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87.同一药物相同剂量的试验制剂AUC与参比制剂AUC的比值称为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88.单位用“体积/时间”表示的药动学参数是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【89-90】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A.药物消除速率常数</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B.药物消除半衰期</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C.药物在体内的达峰时间</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D.药物在体内的峰浓度</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E.药物在体内的平均滞留时间</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89．Cmax是指（药物在体内的峰浓度）</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90.MRT是指（药物在体内的平均滞留时间）</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【91-93】</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A.0.2303</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B.0.3465</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C.2.0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D.3.072</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E.8.42</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给某患者静脉注射一单室模型药物，剂量为100.0mg,测得不同时刻血药浓度数据如下表。外推出浓度为11.88</w:t>
      </w:r>
      <w:r>
        <w:rPr>
          <w:rFonts w:hint="eastAsia" w:ascii="宋体" w:hAnsi="宋体" w:cs="宋体"/>
          <w:b w:val="0"/>
          <w:bCs w:val="0"/>
          <w:color w:val="auto"/>
          <w:sz w:val="21"/>
          <w:szCs w:val="21"/>
          <w:highlight w:val="none"/>
          <w:lang w:eastAsia="zh-CN"/>
        </w:rPr>
        <w:t>μg</w:t>
      </w:r>
      <w:r>
        <w:rPr>
          <w:rFonts w:hint="eastAsia" w:ascii="宋体" w:hAnsi="宋体" w:eastAsia="宋体" w:cs="宋体"/>
          <w:b w:val="0"/>
          <w:bCs w:val="0"/>
          <w:color w:val="auto"/>
          <w:sz w:val="21"/>
          <w:szCs w:val="21"/>
          <w:highlight w:val="none"/>
          <w:lang w:eastAsia="zh-CN"/>
        </w:rPr>
        <w:t>/ml。</w:t>
      </w:r>
    </w:p>
    <w:p>
      <w:pPr>
        <w:rPr>
          <w:rFonts w:hint="eastAsia" w:ascii="宋体" w:hAnsi="宋体" w:eastAsia="宋体" w:cs="宋体"/>
          <w:b w:val="0"/>
          <w:bCs w:val="0"/>
          <w:color w:val="auto"/>
          <w:sz w:val="21"/>
          <w:szCs w:val="21"/>
          <w:highlight w:val="none"/>
          <w:lang w:eastAsia="zh-CN"/>
        </w:rPr>
      </w:pPr>
      <w:r>
        <w:drawing>
          <wp:inline distT="0" distB="0" distL="114300" distR="114300">
            <wp:extent cx="5274310" cy="565785"/>
            <wp:effectExtent l="0" t="0" r="2540" b="5715"/>
            <wp:docPr id="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6"/>
                    <pic:cNvPicPr>
                      <a:picLocks noChangeAspect="1"/>
                    </pic:cNvPicPr>
                  </pic:nvPicPr>
                  <pic:blipFill>
                    <a:blip r:embed="rId28"/>
                    <a:stretch>
                      <a:fillRect/>
                    </a:stretch>
                  </pic:blipFill>
                  <pic:spPr>
                    <a:xfrm>
                      <a:off x="0" y="0"/>
                      <a:ext cx="5274310" cy="56578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91.该药物的半衰期（单位h</w:t>
      </w:r>
      <w:r>
        <w:rPr>
          <w:rFonts w:hint="eastAsia" w:ascii="宋体" w:hAnsi="宋体" w:eastAsia="宋体" w:cs="宋体"/>
          <w:b w:val="0"/>
          <w:bCs w:val="0"/>
          <w:color w:val="auto"/>
          <w:sz w:val="21"/>
          <w:szCs w:val="21"/>
          <w:highlight w:val="none"/>
          <w:vertAlign w:val="superscript"/>
          <w:lang w:eastAsia="zh-CN"/>
        </w:rPr>
        <w:t>-1</w:t>
      </w:r>
      <w:r>
        <w:rPr>
          <w:rFonts w:hint="eastAsia" w:ascii="宋体" w:hAnsi="宋体" w:eastAsia="宋体" w:cs="宋体"/>
          <w:b w:val="0"/>
          <w:bCs w:val="0"/>
          <w:color w:val="auto"/>
          <w:sz w:val="21"/>
          <w:szCs w:val="21"/>
          <w:highlight w:val="none"/>
          <w:lang w:eastAsia="zh-CN"/>
        </w:rPr>
        <w:t>）是（2.0）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92.该药物的消除速率常数是（常位h</w:t>
      </w:r>
      <w:r>
        <w:rPr>
          <w:rFonts w:hint="eastAsia" w:ascii="宋体" w:hAnsi="宋体" w:eastAsia="宋体" w:cs="宋体"/>
          <w:b w:val="0"/>
          <w:bCs w:val="0"/>
          <w:color w:val="auto"/>
          <w:sz w:val="21"/>
          <w:szCs w:val="21"/>
          <w:highlight w:val="none"/>
          <w:vertAlign w:val="superscript"/>
          <w:lang w:eastAsia="zh-CN"/>
        </w:rPr>
        <w:t>-1</w:t>
      </w:r>
      <w:r>
        <w:rPr>
          <w:rFonts w:hint="eastAsia" w:ascii="宋体" w:hAnsi="宋体" w:eastAsia="宋体" w:cs="宋体"/>
          <w:b w:val="0"/>
          <w:bCs w:val="0"/>
          <w:color w:val="auto"/>
          <w:sz w:val="21"/>
          <w:szCs w:val="21"/>
          <w:highlight w:val="none"/>
          <w:lang w:eastAsia="zh-CN"/>
        </w:rPr>
        <w:t>）是（0.3465）</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93.该药物的表现分布容积（单位L）是（8.42）</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【94-95】</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A.舒林酸</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B.塞来昔布</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C.吲哚美辛</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D.布洛芬</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E.萘丁美酮</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94.用于类风湿性关节炎治疗的选择性环氧酶-2（COX-2）抑制剂是（塞来昔布）</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95.在体外无效，体内经还原代谢产生甲硫基化合物而显示生物活性的非物是（舒林酸）</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【96～97】</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A．氟尿嘧啶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B.金刚乙胺</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C.阿昔洛韦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D.奥司他韦</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E.拉米呋啶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96. 神经氨酸酶抑制剂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97. 开环嘌零核苷酸类似物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【98～100】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 伊马替尼</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 伊马替尼</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 氨鲁米特</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 氟他胺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 紫杉醇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98.属于有丝分裂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99. 雌激素受体调节剂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100. 酷氨酸激酶抑制剂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三、综合分析选择题</w:t>
      </w:r>
    </w:p>
    <w:p>
      <w:pPr>
        <w:numPr>
          <w:ilvl w:val="0"/>
          <w:numId w:val="1"/>
        </w:num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人体中，心房以β</w:t>
      </w:r>
      <w:r>
        <w:rPr>
          <w:rFonts w:hint="eastAsia" w:ascii="宋体" w:hAnsi="宋体" w:eastAsia="宋体" w:cs="宋体"/>
          <w:b w:val="0"/>
          <w:bCs w:val="0"/>
          <w:color w:val="auto"/>
          <w:sz w:val="21"/>
          <w:szCs w:val="21"/>
          <w:highlight w:val="none"/>
          <w:vertAlign w:val="subscript"/>
          <w:lang w:eastAsia="zh-CN"/>
        </w:rPr>
        <w:t>1</w:t>
      </w:r>
      <w:r>
        <w:rPr>
          <w:rFonts w:hint="eastAsia" w:ascii="宋体" w:hAnsi="宋体" w:eastAsia="宋体" w:cs="宋体"/>
          <w:b w:val="0"/>
          <w:bCs w:val="0"/>
          <w:color w:val="auto"/>
          <w:sz w:val="21"/>
          <w:szCs w:val="21"/>
          <w:highlight w:val="none"/>
          <w:lang w:eastAsia="zh-CN"/>
        </w:rPr>
        <w:t>受体为主，但同 时含有四份之一的β</w:t>
      </w:r>
      <w:r>
        <w:rPr>
          <w:rFonts w:hint="eastAsia" w:ascii="宋体" w:hAnsi="宋体" w:eastAsia="宋体" w:cs="宋体"/>
          <w:b w:val="0"/>
          <w:bCs w:val="0"/>
          <w:color w:val="auto"/>
          <w:sz w:val="21"/>
          <w:szCs w:val="21"/>
          <w:highlight w:val="none"/>
          <w:vertAlign w:val="subscript"/>
          <w:lang w:eastAsia="zh-CN"/>
        </w:rPr>
        <w:t>2</w:t>
      </w:r>
      <w:r>
        <w:rPr>
          <w:rFonts w:hint="eastAsia" w:ascii="宋体" w:hAnsi="宋体" w:eastAsia="宋体" w:cs="宋体"/>
          <w:b w:val="0"/>
          <w:bCs w:val="0"/>
          <w:color w:val="auto"/>
          <w:sz w:val="21"/>
          <w:szCs w:val="21"/>
          <w:highlight w:val="none"/>
          <w:lang w:eastAsia="zh-CN"/>
        </w:rPr>
        <w:t>受体，肺组织β</w:t>
      </w:r>
      <w:r>
        <w:rPr>
          <w:rFonts w:hint="eastAsia" w:ascii="宋体" w:hAnsi="宋体" w:eastAsia="宋体" w:cs="宋体"/>
          <w:b w:val="0"/>
          <w:bCs w:val="0"/>
          <w:color w:val="auto"/>
          <w:sz w:val="21"/>
          <w:szCs w:val="21"/>
          <w:highlight w:val="none"/>
          <w:vertAlign w:val="subscript"/>
          <w:lang w:eastAsia="zh-CN"/>
        </w:rPr>
        <w:t>1</w:t>
      </w:r>
      <w:r>
        <w:rPr>
          <w:rFonts w:hint="eastAsia" w:ascii="宋体" w:hAnsi="宋体" w:eastAsia="宋体" w:cs="宋体"/>
          <w:b w:val="0"/>
          <w:bCs w:val="0"/>
          <w:color w:val="auto"/>
          <w:sz w:val="21"/>
          <w:szCs w:val="21"/>
          <w:highlight w:val="none"/>
          <w:lang w:eastAsia="zh-CN"/>
        </w:rPr>
        <w:t>和β</w:t>
      </w:r>
      <w:r>
        <w:rPr>
          <w:rFonts w:hint="eastAsia" w:ascii="宋体" w:hAnsi="宋体" w:eastAsia="宋体" w:cs="宋体"/>
          <w:b w:val="0"/>
          <w:bCs w:val="0"/>
          <w:color w:val="auto"/>
          <w:sz w:val="21"/>
          <w:szCs w:val="21"/>
          <w:highlight w:val="none"/>
          <w:vertAlign w:val="subscript"/>
          <w:lang w:eastAsia="zh-CN"/>
        </w:rPr>
        <w:t>2</w:t>
      </w:r>
      <w:r>
        <w:rPr>
          <w:rFonts w:hint="eastAsia" w:ascii="宋体" w:hAnsi="宋体" w:eastAsia="宋体" w:cs="宋体"/>
          <w:b w:val="0"/>
          <w:bCs w:val="0"/>
          <w:color w:val="auto"/>
          <w:sz w:val="21"/>
          <w:szCs w:val="21"/>
          <w:highlight w:val="none"/>
          <w:lang w:eastAsia="zh-CN"/>
        </w:rPr>
        <w:t>之比为3:7,根据β受体分布并结合受体作用情况，下列说法正确的是（）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A.非选择性β受体阻断药，具有较强抑制心肌收缩力作用，同时具有引起支气管痉挛及哮喘的副作用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B.选择性β</w:t>
      </w:r>
      <w:r>
        <w:rPr>
          <w:rFonts w:hint="eastAsia" w:ascii="宋体" w:hAnsi="宋体" w:eastAsia="宋体" w:cs="宋体"/>
          <w:b w:val="0"/>
          <w:bCs w:val="0"/>
          <w:color w:val="auto"/>
          <w:sz w:val="21"/>
          <w:szCs w:val="21"/>
          <w:highlight w:val="none"/>
          <w:vertAlign w:val="subscript"/>
          <w:lang w:eastAsia="zh-CN"/>
        </w:rPr>
        <w:t>1</w:t>
      </w:r>
      <w:r>
        <w:rPr>
          <w:rFonts w:hint="eastAsia" w:ascii="宋体" w:hAnsi="宋体" w:eastAsia="宋体" w:cs="宋体"/>
          <w:b w:val="0"/>
          <w:bCs w:val="0"/>
          <w:color w:val="auto"/>
          <w:sz w:val="21"/>
          <w:szCs w:val="21"/>
          <w:highlight w:val="none"/>
          <w:lang w:eastAsia="zh-CN"/>
        </w:rPr>
        <w:t>受体阻断药，具有较强的增强心肌收缩力作用，临床可用于强心和抗休克</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C.选择性β</w:t>
      </w:r>
      <w:r>
        <w:rPr>
          <w:rFonts w:hint="eastAsia" w:ascii="宋体" w:hAnsi="宋体" w:eastAsia="宋体" w:cs="宋体"/>
          <w:b w:val="0"/>
          <w:bCs w:val="0"/>
          <w:color w:val="auto"/>
          <w:sz w:val="21"/>
          <w:szCs w:val="21"/>
          <w:highlight w:val="none"/>
          <w:vertAlign w:val="subscript"/>
          <w:lang w:eastAsia="zh-CN"/>
        </w:rPr>
        <w:t>2</w:t>
      </w:r>
      <w:r>
        <w:rPr>
          <w:rFonts w:hint="eastAsia" w:ascii="宋体" w:hAnsi="宋体" w:eastAsia="宋体" w:cs="宋体"/>
          <w:b w:val="0"/>
          <w:bCs w:val="0"/>
          <w:color w:val="auto"/>
          <w:sz w:val="21"/>
          <w:szCs w:val="21"/>
          <w:highlight w:val="none"/>
          <w:lang w:eastAsia="zh-CN"/>
        </w:rPr>
        <w:t>受体阻断药，具有较强的抑制心肌收缩力作用，同时具有引起体位性低血压的副作用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D.选择性β</w:t>
      </w:r>
      <w:r>
        <w:rPr>
          <w:rFonts w:hint="eastAsia" w:ascii="宋体" w:hAnsi="宋体" w:eastAsia="宋体" w:cs="宋体"/>
          <w:b w:val="0"/>
          <w:bCs w:val="0"/>
          <w:color w:val="auto"/>
          <w:sz w:val="21"/>
          <w:szCs w:val="21"/>
          <w:highlight w:val="none"/>
          <w:vertAlign w:val="subscript"/>
          <w:lang w:eastAsia="zh-CN"/>
        </w:rPr>
        <w:t>1</w:t>
      </w:r>
      <w:r>
        <w:rPr>
          <w:rFonts w:hint="eastAsia" w:ascii="宋体" w:hAnsi="宋体" w:eastAsia="宋体" w:cs="宋体"/>
          <w:b w:val="0"/>
          <w:bCs w:val="0"/>
          <w:color w:val="auto"/>
          <w:sz w:val="21"/>
          <w:szCs w:val="21"/>
          <w:highlight w:val="none"/>
          <w:lang w:eastAsia="zh-CN"/>
        </w:rPr>
        <w:t>受体激动药，具有较强扩张支气管作用，可用于平喘和改善微循环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E.选择性β</w:t>
      </w:r>
      <w:r>
        <w:rPr>
          <w:rFonts w:hint="eastAsia" w:ascii="宋体" w:hAnsi="宋体" w:eastAsia="宋体" w:cs="宋体"/>
          <w:b w:val="0"/>
          <w:bCs w:val="0"/>
          <w:color w:val="auto"/>
          <w:sz w:val="21"/>
          <w:szCs w:val="21"/>
          <w:highlight w:val="none"/>
          <w:vertAlign w:val="subscript"/>
          <w:lang w:eastAsia="zh-CN"/>
        </w:rPr>
        <w:t>2</w:t>
      </w:r>
      <w:r>
        <w:rPr>
          <w:rFonts w:hint="eastAsia" w:ascii="宋体" w:hAnsi="宋体" w:eastAsia="宋体" w:cs="宋体"/>
          <w:b w:val="0"/>
          <w:bCs w:val="0"/>
          <w:color w:val="auto"/>
          <w:sz w:val="21"/>
          <w:szCs w:val="21"/>
          <w:highlight w:val="none"/>
          <w:lang w:eastAsia="zh-CN"/>
        </w:rPr>
        <w:t>受体激动药，比同时作用α和β受体的激动药具有更强的收缩外周血管作用，可用于抗休克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102.普萘洛尔是</w:t>
      </w:r>
      <w:r>
        <w:rPr>
          <w:rFonts w:hint="eastAsia" w:ascii="宋体" w:hAnsi="宋体" w:cs="宋体"/>
          <w:b w:val="0"/>
          <w:bCs w:val="0"/>
          <w:color w:val="auto"/>
          <w:sz w:val="21"/>
          <w:szCs w:val="21"/>
          <w:highlight w:val="none"/>
          <w:lang w:eastAsia="zh-CN"/>
        </w:rPr>
        <w:t>β</w:t>
      </w:r>
      <w:r>
        <w:rPr>
          <w:rFonts w:hint="eastAsia" w:ascii="宋体" w:hAnsi="宋体" w:eastAsia="宋体" w:cs="宋体"/>
          <w:b w:val="0"/>
          <w:bCs w:val="0"/>
          <w:color w:val="auto"/>
          <w:sz w:val="21"/>
          <w:szCs w:val="21"/>
          <w:highlight w:val="none"/>
          <w:lang w:eastAsia="zh-CN"/>
        </w:rPr>
        <w:t>受体阴断药的代表，属于</w:t>
      </w:r>
      <w:r>
        <w:rPr>
          <w:rFonts w:hint="eastAsia" w:ascii="宋体" w:hAnsi="宋体" w:cs="宋体"/>
          <w:b w:val="0"/>
          <w:bCs w:val="0"/>
          <w:color w:val="auto"/>
          <w:sz w:val="21"/>
          <w:szCs w:val="21"/>
          <w:highlight w:val="none"/>
          <w:lang w:eastAsia="zh-CN"/>
        </w:rPr>
        <w:t>芳</w:t>
      </w:r>
      <w:r>
        <w:rPr>
          <w:rFonts w:hint="eastAsia" w:ascii="宋体" w:hAnsi="宋体" w:eastAsia="宋体" w:cs="宋体"/>
          <w:b w:val="0"/>
          <w:bCs w:val="0"/>
          <w:color w:val="auto"/>
          <w:sz w:val="21"/>
          <w:szCs w:val="21"/>
          <w:highlight w:val="none"/>
          <w:lang w:eastAsia="zh-CN"/>
        </w:rPr>
        <w:t>氧丙醇胺类结构类型。普萘洛尔的结构是</w:t>
      </w:r>
    </w:p>
    <w:p>
      <w:pPr>
        <w:numPr>
          <w:ilvl w:val="0"/>
          <w:numId w:val="0"/>
        </w:numPr>
        <w:rPr>
          <w:rFonts w:hint="eastAsia" w:ascii="宋体" w:hAnsi="宋体" w:eastAsia="宋体" w:cs="宋体"/>
          <w:b w:val="0"/>
          <w:bCs w:val="0"/>
          <w:color w:val="auto"/>
          <w:sz w:val="21"/>
          <w:szCs w:val="21"/>
          <w:highlight w:val="none"/>
          <w:lang w:val="en-US" w:eastAsia="zh-CN"/>
        </w:rPr>
      </w:pPr>
      <w:r>
        <w:drawing>
          <wp:inline distT="0" distB="0" distL="114300" distR="114300">
            <wp:extent cx="5267325" cy="2712085"/>
            <wp:effectExtent l="0" t="0" r="9525" b="12065"/>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pic:cNvPicPr>
                      <a:picLocks noChangeAspect="1"/>
                    </pic:cNvPicPr>
                  </pic:nvPicPr>
                  <pic:blipFill>
                    <a:blip r:embed="rId29"/>
                    <a:stretch>
                      <a:fillRect/>
                    </a:stretch>
                  </pic:blipFill>
                  <pic:spPr>
                    <a:xfrm>
                      <a:off x="0" y="0"/>
                      <a:ext cx="5267325" cy="271208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103.胰岛细胞上的</w:t>
      </w:r>
      <w:r>
        <w:rPr>
          <w:rFonts w:hint="eastAsia" w:ascii="宋体" w:hAnsi="宋体" w:cs="宋体"/>
          <w:b w:val="0"/>
          <w:bCs w:val="0"/>
          <w:color w:val="auto"/>
          <w:sz w:val="21"/>
          <w:szCs w:val="21"/>
          <w:highlight w:val="none"/>
          <w:lang w:eastAsia="zh-CN"/>
        </w:rPr>
        <w:t>β</w:t>
      </w:r>
      <w:r>
        <w:rPr>
          <w:rFonts w:hint="eastAsia" w:ascii="宋体" w:hAnsi="宋体" w:eastAsia="宋体" w:cs="宋体"/>
          <w:b w:val="0"/>
          <w:bCs w:val="0"/>
          <w:color w:val="auto"/>
          <w:sz w:val="21"/>
          <w:szCs w:val="21"/>
          <w:highlight w:val="none"/>
          <w:lang w:eastAsia="zh-CN"/>
        </w:rPr>
        <w:t>受体属于</w:t>
      </w:r>
      <w:r>
        <w:rPr>
          <w:rFonts w:hint="eastAsia" w:ascii="宋体" w:hAnsi="宋体" w:cs="宋体"/>
          <w:b w:val="0"/>
          <w:bCs w:val="0"/>
          <w:color w:val="auto"/>
          <w:sz w:val="21"/>
          <w:szCs w:val="21"/>
          <w:highlight w:val="none"/>
          <w:lang w:eastAsia="zh-CN"/>
        </w:rPr>
        <w:t>β</w:t>
      </w:r>
      <w:r>
        <w:rPr>
          <w:rFonts w:hint="eastAsia" w:ascii="宋体" w:hAnsi="宋体" w:eastAsia="宋体" w:cs="宋体"/>
          <w:b w:val="0"/>
          <w:bCs w:val="0"/>
          <w:color w:val="auto"/>
          <w:sz w:val="21"/>
          <w:szCs w:val="21"/>
          <w:highlight w:val="none"/>
          <w:vertAlign w:val="subscript"/>
          <w:lang w:eastAsia="zh-CN"/>
        </w:rPr>
        <w:t>2</w:t>
      </w:r>
      <w:r>
        <w:rPr>
          <w:rFonts w:hint="eastAsia" w:ascii="宋体" w:hAnsi="宋体" w:eastAsia="宋体" w:cs="宋体"/>
          <w:b w:val="0"/>
          <w:bCs w:val="0"/>
          <w:color w:val="auto"/>
          <w:sz w:val="21"/>
          <w:szCs w:val="21"/>
          <w:highlight w:val="none"/>
          <w:lang w:eastAsia="zh-CN"/>
        </w:rPr>
        <w:t>亚型，根据肾上腺素受体的功能分析，对于合并糖尿病的室上性心动过速患者，宜选用的抗心律失常药物类型是（选择性</w:t>
      </w:r>
      <w:r>
        <w:rPr>
          <w:rFonts w:hint="eastAsia" w:ascii="宋体" w:hAnsi="宋体" w:cs="宋体"/>
          <w:b w:val="0"/>
          <w:bCs w:val="0"/>
          <w:color w:val="auto"/>
          <w:sz w:val="21"/>
          <w:szCs w:val="21"/>
          <w:highlight w:val="none"/>
          <w:lang w:eastAsia="zh-CN"/>
        </w:rPr>
        <w:t>β</w:t>
      </w:r>
      <w:r>
        <w:rPr>
          <w:rFonts w:hint="eastAsia" w:ascii="宋体" w:hAnsi="宋体" w:cs="宋体"/>
          <w:b w:val="0"/>
          <w:bCs w:val="0"/>
          <w:color w:val="auto"/>
          <w:sz w:val="21"/>
          <w:szCs w:val="21"/>
          <w:highlight w:val="none"/>
          <w:vertAlign w:val="subscript"/>
          <w:lang w:val="en-US" w:eastAsia="zh-CN"/>
        </w:rPr>
        <w:t>1</w:t>
      </w:r>
      <w:r>
        <w:rPr>
          <w:rFonts w:hint="eastAsia" w:ascii="宋体" w:hAnsi="宋体" w:eastAsia="宋体" w:cs="宋体"/>
          <w:b w:val="0"/>
          <w:bCs w:val="0"/>
          <w:color w:val="auto"/>
          <w:sz w:val="21"/>
          <w:szCs w:val="21"/>
          <w:highlight w:val="none"/>
          <w:lang w:eastAsia="zh-CN"/>
        </w:rPr>
        <w:t>受体阻断药）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A.选择性β</w:t>
      </w:r>
      <w:r>
        <w:rPr>
          <w:rFonts w:hint="eastAsia" w:ascii="宋体" w:hAnsi="宋体" w:eastAsia="宋体" w:cs="宋体"/>
          <w:b w:val="0"/>
          <w:bCs w:val="0"/>
          <w:color w:val="auto"/>
          <w:sz w:val="21"/>
          <w:szCs w:val="21"/>
          <w:highlight w:val="none"/>
          <w:vertAlign w:val="subscript"/>
          <w:lang w:eastAsia="zh-CN"/>
        </w:rPr>
        <w:t>1</w:t>
      </w:r>
      <w:r>
        <w:rPr>
          <w:rFonts w:hint="eastAsia" w:ascii="宋体" w:hAnsi="宋体" w:eastAsia="宋体" w:cs="宋体"/>
          <w:b w:val="0"/>
          <w:bCs w:val="0"/>
          <w:color w:val="auto"/>
          <w:sz w:val="21"/>
          <w:szCs w:val="21"/>
          <w:highlight w:val="none"/>
          <w:lang w:eastAsia="zh-CN"/>
        </w:rPr>
        <w:t>受体阻断药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B.选择性β</w:t>
      </w:r>
      <w:r>
        <w:rPr>
          <w:rFonts w:hint="eastAsia" w:ascii="宋体" w:hAnsi="宋体" w:eastAsia="宋体" w:cs="宋体"/>
          <w:b w:val="0"/>
          <w:bCs w:val="0"/>
          <w:color w:val="auto"/>
          <w:sz w:val="21"/>
          <w:szCs w:val="21"/>
          <w:highlight w:val="none"/>
          <w:vertAlign w:val="subscript"/>
          <w:lang w:eastAsia="zh-CN"/>
        </w:rPr>
        <w:t>2</w:t>
      </w:r>
      <w:r>
        <w:rPr>
          <w:rFonts w:hint="eastAsia" w:ascii="宋体" w:hAnsi="宋体" w:eastAsia="宋体" w:cs="宋体"/>
          <w:b w:val="0"/>
          <w:bCs w:val="0"/>
          <w:color w:val="auto"/>
          <w:sz w:val="21"/>
          <w:szCs w:val="21"/>
          <w:highlight w:val="none"/>
          <w:lang w:eastAsia="zh-CN"/>
        </w:rPr>
        <w:t>受体阻断药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C.非选择性β受体阻断药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D.β</w:t>
      </w:r>
      <w:r>
        <w:rPr>
          <w:rFonts w:hint="eastAsia" w:ascii="宋体" w:hAnsi="宋体" w:eastAsia="宋体" w:cs="宋体"/>
          <w:b w:val="0"/>
          <w:bCs w:val="0"/>
          <w:color w:val="auto"/>
          <w:sz w:val="21"/>
          <w:szCs w:val="21"/>
          <w:highlight w:val="none"/>
          <w:vertAlign w:val="subscript"/>
          <w:lang w:eastAsia="zh-CN"/>
        </w:rPr>
        <w:t>1</w:t>
      </w:r>
      <w:r>
        <w:rPr>
          <w:rFonts w:hint="eastAsia" w:ascii="宋体" w:hAnsi="宋体" w:eastAsia="宋体" w:cs="宋体"/>
          <w:b w:val="0"/>
          <w:bCs w:val="0"/>
          <w:color w:val="auto"/>
          <w:sz w:val="21"/>
          <w:szCs w:val="21"/>
          <w:highlight w:val="none"/>
          <w:lang w:eastAsia="zh-CN"/>
        </w:rPr>
        <w:t>受体激动药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E.β</w:t>
      </w:r>
      <w:r>
        <w:rPr>
          <w:rFonts w:hint="eastAsia" w:ascii="宋体" w:hAnsi="宋体" w:eastAsia="宋体" w:cs="宋体"/>
          <w:b w:val="0"/>
          <w:bCs w:val="0"/>
          <w:color w:val="auto"/>
          <w:sz w:val="21"/>
          <w:szCs w:val="21"/>
          <w:highlight w:val="none"/>
          <w:vertAlign w:val="subscript"/>
          <w:lang w:eastAsia="zh-CN"/>
        </w:rPr>
        <w:t>2</w:t>
      </w:r>
      <w:r>
        <w:rPr>
          <w:rFonts w:hint="eastAsia" w:ascii="宋体" w:hAnsi="宋体" w:eastAsia="宋体" w:cs="宋体"/>
          <w:b w:val="0"/>
          <w:bCs w:val="0"/>
          <w:color w:val="auto"/>
          <w:sz w:val="21"/>
          <w:szCs w:val="21"/>
          <w:highlight w:val="none"/>
          <w:lang w:eastAsia="zh-CN"/>
        </w:rPr>
        <w:t>受体激动药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【104～106】</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患者，男，因哮喘就诊。医生开具丙酸氟替卡松入气雾剂控制哮喘症状，建议使用2周，换着凝虑用激素药物会产生全身性糖皮质激素副作用，就此咨询药师、</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丙酸氟替卡松的滑雪结构如下</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104.依据丙酸氟替卡松的结构和制剂的特点，对患者咨询问题的科学解释是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A.丙酸氟替卡松没有糖皮质激素样作用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B.丙酸氟替卡松气雾剂中有拮抗激素作用的药物，能避免产生全身性糖皮质激素副作用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C.丙酸氟替卡松体内不发生代谢，用药后很快从尿中排出，能避免产生全身性糖皮质激素副作用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D.丙酸氟替卡松结构中16位甲基易氧化，失去活性，能避免产生全身性糖皮质激素副作用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E.丙酸氟替卡松结构中17位β羧酸酯具有活性，在体内水解产生的β羧酸失去活性，能避免产生全身性糖皮质激素副作用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105.下列关于丙酸氟替卡松吸入气雾剂的使用方法和注意事项，错误的是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A.使用前需摇匀储药罐，使药物充分混合</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B.使用时用嘴唇包饶住吸入器口，缓慢吸气并同时按动气阀给药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C.丙酸氟替卡松吸入结束后不能漱口和刷牙</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D.吸入气雾剂常用特殊的耐压给药装置，需避光、避热，防止爆炸</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E.吸入气雾剂中常使用抛射剂，在常压下沸点低于室温，需安全保管</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106.丙酸氟替卡松作用的受体属于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A.G蛋白偶联受体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B.配体门控例子通道受体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C.酪氨酸激酶受体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D.细胞核激素受体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E.生长激素受体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【107～108】</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rPr>
        <w:t>盐酸多柔比星，又称阿霉素，是光谱抗肿瘤药物其化学结构如下</w:t>
      </w:r>
      <w:r>
        <w:rPr>
          <w:rFonts w:hint="eastAsia" w:ascii="宋体" w:hAnsi="宋体" w:eastAsia="宋体" w:cs="宋体"/>
          <w:b w:val="0"/>
          <w:bCs w:val="0"/>
          <w:color w:val="auto"/>
          <w:sz w:val="21"/>
          <w:szCs w:val="21"/>
          <w:highlight w:val="none"/>
          <w:lang w:val="en-US" w:eastAsia="zh-CN"/>
        </w:rPr>
        <w:t>:</w:t>
      </w:r>
    </w:p>
    <w:p>
      <w:pP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drawing>
          <wp:inline distT="0" distB="0" distL="114300" distR="114300">
            <wp:extent cx="2990215" cy="2066925"/>
            <wp:effectExtent l="0" t="0" r="635" b="9525"/>
            <wp:docPr id="3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8"/>
                    <pic:cNvPicPr>
                      <a:picLocks noChangeAspect="1"/>
                    </pic:cNvPicPr>
                  </pic:nvPicPr>
                  <pic:blipFill>
                    <a:blip r:embed="rId30"/>
                    <a:stretch>
                      <a:fillRect/>
                    </a:stretch>
                  </pic:blipFill>
                  <pic:spPr>
                    <a:xfrm>
                      <a:off x="0" y="0"/>
                      <a:ext cx="2990215" cy="2066925"/>
                    </a:xfrm>
                    <a:prstGeom prst="rect">
                      <a:avLst/>
                    </a:prstGeom>
                    <a:noFill/>
                    <a:ln>
                      <a:noFill/>
                    </a:ln>
                  </pic:spPr>
                </pic:pic>
              </a:graphicData>
            </a:graphic>
          </wp:inline>
        </w:drawing>
      </w:r>
    </w:p>
    <w:p>
      <w:pP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临床上，使用盐酸多柔比星注射液时，常发生骨髓抑制和心脏毒性等严重不良反应，解决方法之一是将其制成脂质体制剂。盐酸多柔比星脂质体注射液的辅料有PEG-DSPE，氢化大豆卵磷脂，胆固醇，硫酸铵，蔗糖，</w:t>
      </w:r>
      <w:r>
        <w:rPr>
          <w:rFonts w:hint="eastAsia" w:ascii="宋体" w:hAnsi="宋体" w:eastAsia="宋体" w:cs="宋体"/>
          <w:b w:val="0"/>
          <w:bCs w:val="0"/>
          <w:color w:val="auto"/>
          <w:sz w:val="21"/>
          <w:szCs w:val="21"/>
          <w:highlight w:val="none"/>
          <w:lang w:eastAsia="zh-CN"/>
        </w:rPr>
        <w:t>组</w:t>
      </w:r>
      <w:r>
        <w:rPr>
          <w:rFonts w:hint="eastAsia" w:ascii="宋体" w:hAnsi="宋体" w:eastAsia="宋体" w:cs="宋体"/>
          <w:b w:val="0"/>
          <w:bCs w:val="0"/>
          <w:color w:val="auto"/>
          <w:sz w:val="21"/>
          <w:szCs w:val="21"/>
          <w:highlight w:val="none"/>
        </w:rPr>
        <w:t>氨酸等</w:t>
      </w:r>
      <w:r>
        <w:rPr>
          <w:rFonts w:hint="eastAsia" w:ascii="宋体" w:hAnsi="宋体" w:eastAsia="宋体" w:cs="宋体"/>
          <w:b w:val="0"/>
          <w:bCs w:val="0"/>
          <w:color w:val="auto"/>
          <w:sz w:val="21"/>
          <w:szCs w:val="21"/>
          <w:highlight w:val="none"/>
          <w:lang w:val="en-US" w:eastAsia="zh-CN"/>
        </w:rPr>
        <w:t>。</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107.盐酸多柔比星产生抗肿瘤活性的作用机制是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A.抑制DNA拓扑异构酶Ⅱ</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B.与DNA发生烷基化</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C.拮抗胸腺嘧啶的生物合成</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D.抑制二氢叶酸还原酶</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E.干扰肿瘤细胞的有丝分裂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108.盐酸多柔比星毒性作用主要是骨髓抑制和心脏毒性，产生这一副作用的原因可能是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A.在体内发生脱甲基化反应，生产的羟基代谢物具有较大毒性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B.在体内容易进一步氧化，生产的醛基代谢物具有较大毒性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C.在体内醌环易被还原成半醌自由基，诱发脂质过氧化反应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D.在体内发生氨基糖开环反应，诱发脂质过氧化反应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E.在体内发生脱水反应，代谢物具有较大毒性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【109～110】</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109.脂质体是一种具有多种功能的药物载体，不属于其特点的是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A.具有靶向性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B.降低药物毒性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C.提高药物的稳定性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D.组织相容性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E.具有长效性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110.PEG-DSPE是一种PEG花脂质材料，常用语对脂质体进行PEG话，降低与单核巨噬细胞的亲和力。盐酸多柔比星脂质体以PEG-DSPE为脂质体属于</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A.前体脂质体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B.Ph敏感脂质体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C.免疫脂质体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D.热敏脂质体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E.长循环脂质体</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四、多项选择题</w:t>
      </w:r>
    </w:p>
    <w:p>
      <w:p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111. 药物辅料的作用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A.赋形</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B.提高药物稳定性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C.降低不良反应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D.提高药物疗效</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E.增加病人用药的顺应性</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112. 属于手性化合物的是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A.氯胺酮</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"http://www.233.com/NewsFiles/2016-10/20/yaoshi/112-1.bmp"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190625" cy="819150"/>
            <wp:effectExtent l="0" t="0" r="9525" b="0"/>
            <wp:docPr id="35"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9" descr="IMG_256"/>
                    <pic:cNvPicPr>
                      <a:picLocks noChangeAspect="1"/>
                    </pic:cNvPicPr>
                  </pic:nvPicPr>
                  <pic:blipFill>
                    <a:blip r:embed="rId31"/>
                    <a:stretch>
                      <a:fillRect/>
                    </a:stretch>
                  </pic:blipFill>
                  <pic:spPr>
                    <a:xfrm>
                      <a:off x="0" y="0"/>
                      <a:ext cx="1190625" cy="8191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B.乙胺丁醇</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"http://www.233.com/NewsFiles/2016-10/20/yaoshi/112-2.bmp"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657350" cy="704850"/>
            <wp:effectExtent l="0" t="0" r="0" b="0"/>
            <wp:docPr id="32" name="图片 3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0" descr="IMG_257"/>
                    <pic:cNvPicPr>
                      <a:picLocks noChangeAspect="1"/>
                    </pic:cNvPicPr>
                  </pic:nvPicPr>
                  <pic:blipFill>
                    <a:blip r:embed="rId32"/>
                    <a:stretch>
                      <a:fillRect/>
                    </a:stretch>
                  </pic:blipFill>
                  <pic:spPr>
                    <a:xfrm>
                      <a:off x="0" y="0"/>
                      <a:ext cx="1657350" cy="7048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C.氨氯地平</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"http://www.233.com/NewsFiles/2016-10/20/yaoshi/112-3.bmp"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476375" cy="914400"/>
            <wp:effectExtent l="0" t="0" r="9525" b="0"/>
            <wp:docPr id="36" name="图片 31"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1" descr="IMG_258"/>
                    <pic:cNvPicPr>
                      <a:picLocks noChangeAspect="1"/>
                    </pic:cNvPicPr>
                  </pic:nvPicPr>
                  <pic:blipFill>
                    <a:blip r:embed="rId33"/>
                    <a:stretch>
                      <a:fillRect/>
                    </a:stretch>
                  </pic:blipFill>
                  <pic:spPr>
                    <a:xfrm>
                      <a:off x="0" y="0"/>
                      <a:ext cx="1476375" cy="91440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D.普鲁卡因</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"http://www.233.com/NewsFiles/2016-10/20/yaoshi/112-4.bmp"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485900" cy="866775"/>
            <wp:effectExtent l="0" t="0" r="0" b="9525"/>
            <wp:docPr id="34" name="图片 32"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2" descr="IMG_259"/>
                    <pic:cNvPicPr>
                      <a:picLocks noChangeAspect="1"/>
                    </pic:cNvPicPr>
                  </pic:nvPicPr>
                  <pic:blipFill>
                    <a:blip r:embed="rId34"/>
                    <a:stretch>
                      <a:fillRect/>
                    </a:stretch>
                  </pic:blipFill>
                  <pic:spPr>
                    <a:xfrm>
                      <a:off x="0" y="0"/>
                      <a:ext cx="1485900" cy="86677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E.阿司匹林</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"http://www.233.com/NewsFiles/2016-10/20/yaoshi/112-5.bmp"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200150" cy="923925"/>
            <wp:effectExtent l="0" t="0" r="0" b="9525"/>
            <wp:docPr id="31" name="图片 33"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3" descr="IMG_260"/>
                    <pic:cNvPicPr>
                      <a:picLocks noChangeAspect="1"/>
                    </pic:cNvPicPr>
                  </pic:nvPicPr>
                  <pic:blipFill>
                    <a:blip r:embed="rId35"/>
                    <a:stretch>
                      <a:fillRect/>
                    </a:stretch>
                  </pic:blipFill>
                  <pic:spPr>
                    <a:xfrm>
                      <a:off x="0" y="0"/>
                      <a:ext cx="1200150" cy="92392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113.缓释、控释制剂的释药原理有</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A.扩散原理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B.溶出原理</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C.溶蚀与溶出、扩散结合原理</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D.渗透压驱动原理</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E.离子交换原理</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114.下列剂型给药可以避免“首过效应”的有</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A.注射剂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B.气雾剂</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C.口服溶液</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D.舌下片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E.肠溶片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115. 临床常用的血药浓度测定方法</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A.红外分光光度法(IR)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B.薄层色谱法（TLC）</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C.酶免疫法（ELISA）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D.高相液相色溶法（HPLC）</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E.液相色谱-质谱联用法（LG-MS））</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116.药品标准正文内容，除收载有名称、结构式、分子式、分子量与性状外，还载有</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A.鉴别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B.检查</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C.含量测定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D.药动学参数</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E.不良反应</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117.属于受体信号转导第二信使的有</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A.环磷酸腺苷（cAMP）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B.环磷酸鸟苷（cGMP）</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C钙离子（Ca2+）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D.一氧化氢（NO）</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E.乙酰胆碱（ACh）</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118.药物的协同作用包括</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A.增敏作用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B.脱敏作用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C.增强作用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D.相加作用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E.拮抗作用</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119.在体内可发生去甲基化代谢，其代谢产物仍具有活性抗抑郁的药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A.氟西汀</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"http://www.233.com/NewsFiles/2016-10/20/yaoshi/119-1.bmp"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485900" cy="1533525"/>
            <wp:effectExtent l="0" t="0" r="0" b="9525"/>
            <wp:docPr id="33" name="图片 34"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4" descr="IMG_261"/>
                    <pic:cNvPicPr>
                      <a:picLocks noChangeAspect="1"/>
                    </pic:cNvPicPr>
                  </pic:nvPicPr>
                  <pic:blipFill>
                    <a:blip r:embed="rId36"/>
                    <a:stretch>
                      <a:fillRect/>
                    </a:stretch>
                  </pic:blipFill>
                  <pic:spPr>
                    <a:xfrm>
                      <a:off x="0" y="0"/>
                      <a:ext cx="1485900" cy="153352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B.舍曲林</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"http://www.233.com/NewsFiles/2016-10/20/yaoshi/119-2.bmp"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181100" cy="1666875"/>
            <wp:effectExtent l="0" t="0" r="0" b="9525"/>
            <wp:docPr id="38" name="图片 35"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5" descr="IMG_262"/>
                    <pic:cNvPicPr>
                      <a:picLocks noChangeAspect="1"/>
                    </pic:cNvPicPr>
                  </pic:nvPicPr>
                  <pic:blipFill>
                    <a:blip r:embed="rId37"/>
                    <a:stretch>
                      <a:fillRect/>
                    </a:stretch>
                  </pic:blipFill>
                  <pic:spPr>
                    <a:xfrm>
                      <a:off x="0" y="0"/>
                      <a:ext cx="1181100" cy="166687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C.文拉</w:t>
      </w:r>
      <w:r>
        <w:rPr>
          <w:rFonts w:hint="eastAsia" w:ascii="宋体" w:hAnsi="宋体" w:cs="宋体"/>
          <w:b w:val="0"/>
          <w:bCs w:val="0"/>
          <w:color w:val="auto"/>
          <w:sz w:val="21"/>
          <w:szCs w:val="21"/>
          <w:highlight w:val="none"/>
          <w:lang w:eastAsia="zh-CN"/>
        </w:rPr>
        <w:t>法</w:t>
      </w:r>
      <w:r>
        <w:rPr>
          <w:rFonts w:hint="eastAsia" w:ascii="宋体" w:hAnsi="宋体" w:eastAsia="宋体" w:cs="宋体"/>
          <w:b w:val="0"/>
          <w:bCs w:val="0"/>
          <w:color w:val="auto"/>
          <w:sz w:val="21"/>
          <w:szCs w:val="21"/>
          <w:highlight w:val="none"/>
          <w:lang w:eastAsia="zh-CN"/>
        </w:rPr>
        <w:t>辛 </w:t>
      </w:r>
      <w:r>
        <w:drawing>
          <wp:inline distT="0" distB="0" distL="114300" distR="114300">
            <wp:extent cx="1080135" cy="661670"/>
            <wp:effectExtent l="0" t="0" r="5715" b="5080"/>
            <wp:docPr id="4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6"/>
                    <pic:cNvPicPr>
                      <a:picLocks noChangeAspect="1"/>
                    </pic:cNvPicPr>
                  </pic:nvPicPr>
                  <pic:blipFill>
                    <a:blip r:embed="rId38"/>
                    <a:stretch>
                      <a:fillRect/>
                    </a:stretch>
                  </pic:blipFill>
                  <pic:spPr>
                    <a:xfrm>
                      <a:off x="0" y="0"/>
                      <a:ext cx="1080135" cy="66167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D.艾司西酞普兰</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"http://www.233.com/NewsFiles/2016-10/20/yaoshi/119-4.bmp"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809750" cy="971550"/>
            <wp:effectExtent l="0" t="0" r="0" b="0"/>
            <wp:docPr id="41" name="图片 37"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7" descr="IMG_264"/>
                    <pic:cNvPicPr>
                      <a:picLocks noChangeAspect="1"/>
                    </pic:cNvPicPr>
                  </pic:nvPicPr>
                  <pic:blipFill>
                    <a:blip r:embed="rId39"/>
                    <a:stretch>
                      <a:fillRect/>
                    </a:stretch>
                  </pic:blipFill>
                  <pic:spPr>
                    <a:xfrm>
                      <a:off x="0" y="0"/>
                      <a:ext cx="1809750" cy="971550"/>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E.阿米替林 </w:t>
      </w:r>
      <w:r>
        <w:rPr>
          <w:rFonts w:hint="eastAsia" w:ascii="宋体" w:hAnsi="宋体" w:eastAsia="宋体" w:cs="宋体"/>
          <w:b w:val="0"/>
          <w:bCs w:val="0"/>
          <w:color w:val="auto"/>
          <w:sz w:val="21"/>
          <w:szCs w:val="21"/>
          <w:highlight w:val="none"/>
          <w:lang w:eastAsia="zh-CN"/>
        </w:rPr>
        <w:fldChar w:fldCharType="begin"/>
      </w:r>
      <w:r>
        <w:rPr>
          <w:rFonts w:hint="eastAsia" w:ascii="宋体" w:hAnsi="宋体" w:eastAsia="宋体" w:cs="宋体"/>
          <w:b w:val="0"/>
          <w:bCs w:val="0"/>
          <w:color w:val="auto"/>
          <w:sz w:val="21"/>
          <w:szCs w:val="21"/>
          <w:highlight w:val="none"/>
          <w:lang w:eastAsia="zh-CN"/>
        </w:rPr>
        <w:instrText xml:space="preserve">INCLUDEPICTURE \d "http://www.233.com/NewsFiles/2016-10/20/yaoshi/119-5.bmp" \* MERGEFORMATINET </w:instrText>
      </w:r>
      <w:r>
        <w:rPr>
          <w:rFonts w:hint="eastAsia" w:ascii="宋体" w:hAnsi="宋体" w:eastAsia="宋体" w:cs="宋体"/>
          <w:b w:val="0"/>
          <w:bCs w:val="0"/>
          <w:color w:val="auto"/>
          <w:sz w:val="21"/>
          <w:szCs w:val="21"/>
          <w:highlight w:val="none"/>
          <w:lang w:eastAsia="zh-CN"/>
        </w:rPr>
        <w:fldChar w:fldCharType="separate"/>
      </w:r>
      <w:r>
        <w:rPr>
          <w:rFonts w:hint="eastAsia" w:ascii="宋体" w:hAnsi="宋体" w:eastAsia="宋体" w:cs="宋体"/>
          <w:b w:val="0"/>
          <w:bCs w:val="0"/>
          <w:color w:val="auto"/>
          <w:sz w:val="21"/>
          <w:szCs w:val="21"/>
          <w:highlight w:val="none"/>
          <w:lang w:eastAsia="zh-CN"/>
        </w:rPr>
        <w:drawing>
          <wp:inline distT="0" distB="0" distL="114300" distR="114300">
            <wp:extent cx="1533525" cy="1190625"/>
            <wp:effectExtent l="0" t="0" r="9525" b="9525"/>
            <wp:docPr id="39" name="图片 38"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descr="IMG_265"/>
                    <pic:cNvPicPr>
                      <a:picLocks noChangeAspect="1"/>
                    </pic:cNvPicPr>
                  </pic:nvPicPr>
                  <pic:blipFill>
                    <a:blip r:embed="rId40"/>
                    <a:stretch>
                      <a:fillRect/>
                    </a:stretch>
                  </pic:blipFill>
                  <pic:spPr>
                    <a:xfrm>
                      <a:off x="0" y="0"/>
                      <a:ext cx="1533525" cy="1190625"/>
                    </a:xfrm>
                    <a:prstGeom prst="rect">
                      <a:avLst/>
                    </a:prstGeom>
                    <a:noFill/>
                    <a:ln>
                      <a:noFill/>
                    </a:ln>
                  </pic:spPr>
                </pic:pic>
              </a:graphicData>
            </a:graphic>
          </wp:inline>
        </w:drawing>
      </w:r>
      <w:r>
        <w:rPr>
          <w:rFonts w:hint="eastAsia" w:ascii="宋体" w:hAnsi="宋体" w:eastAsia="宋体" w:cs="宋体"/>
          <w:b w:val="0"/>
          <w:bCs w:val="0"/>
          <w:color w:val="auto"/>
          <w:sz w:val="21"/>
          <w:szCs w:val="21"/>
          <w:highlight w:val="none"/>
          <w:lang w:eastAsia="zh-CN"/>
        </w:rPr>
        <w:fldChar w:fldCharType="end"/>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120.通过天然雌激素进行结构改造获得作用时间长的比激素类药物是</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A.雌三醇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B.苯甲醛雌二醇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C.尼尔雌醇 </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D.炔雌醇</w:t>
      </w:r>
      <w:r>
        <w:rPr>
          <w:rFonts w:hint="eastAsia" w:ascii="宋体" w:hAnsi="宋体" w:eastAsia="宋体" w:cs="宋体"/>
          <w:b w:val="0"/>
          <w:bCs w:val="0"/>
          <w:color w:val="auto"/>
          <w:sz w:val="21"/>
          <w:szCs w:val="21"/>
          <w:highlight w:val="none"/>
          <w:lang w:eastAsia="zh-CN"/>
        </w:rPr>
        <w:br w:type="textWrapping"/>
      </w:r>
      <w:r>
        <w:rPr>
          <w:rFonts w:hint="eastAsia" w:ascii="宋体" w:hAnsi="宋体" w:eastAsia="宋体" w:cs="宋体"/>
          <w:b w:val="0"/>
          <w:bCs w:val="0"/>
          <w:color w:val="auto"/>
          <w:sz w:val="21"/>
          <w:szCs w:val="21"/>
          <w:highlight w:val="none"/>
          <w:lang w:eastAsia="zh-CN"/>
        </w:rPr>
        <w:t>E.炔诺酮</w:t>
      </w: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rPr>
          <w:rFonts w:hint="eastAsia" w:ascii="宋体" w:hAnsi="宋体" w:eastAsia="宋体" w:cs="宋体"/>
          <w:b w:val="0"/>
          <w:bCs w:val="0"/>
          <w:color w:val="auto"/>
          <w:sz w:val="21"/>
          <w:szCs w:val="21"/>
          <w:highlight w:val="none"/>
          <w:lang w:eastAsia="zh-CN"/>
        </w:rPr>
      </w:pPr>
    </w:p>
    <w:p>
      <w:pPr>
        <w:jc w:val="cente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br w:type="textWrapping"/>
      </w:r>
      <w:r>
        <w:rPr>
          <w:rFonts w:hint="eastAsia" w:ascii="宋体" w:hAnsi="宋体" w:cs="宋体"/>
          <w:b w:val="0"/>
          <w:bCs w:val="0"/>
          <w:color w:val="auto"/>
          <w:sz w:val="21"/>
          <w:szCs w:val="21"/>
          <w:highlight w:val="none"/>
          <w:lang w:eastAsia="zh-CN"/>
        </w:rPr>
        <w:t>【参考答案】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853"/>
        <w:gridCol w:w="852"/>
        <w:gridCol w:w="852"/>
        <w:gridCol w:w="852"/>
        <w:gridCol w:w="852"/>
        <w:gridCol w:w="852"/>
        <w:gridCol w:w="852"/>
        <w:gridCol w:w="852"/>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1</w:t>
            </w:r>
          </w:p>
        </w:tc>
        <w:tc>
          <w:tcPr>
            <w:tcW w:w="853" w:type="dxa"/>
            <w:noWrap w:val="0"/>
            <w:vAlign w:val="center"/>
          </w:tcPr>
          <w:p>
            <w:pPr>
              <w:autoSpaceDN w:val="0"/>
              <w:spacing w:line="400" w:lineRule="exact"/>
              <w:jc w:val="center"/>
              <w:rPr>
                <w:color w:val="404040"/>
                <w:sz w:val="18"/>
                <w:szCs w:val="18"/>
              </w:rPr>
            </w:pPr>
            <w:r>
              <w:rPr>
                <w:color w:val="404040"/>
                <w:sz w:val="18"/>
                <w:szCs w:val="18"/>
              </w:rPr>
              <w:t>2</w:t>
            </w:r>
          </w:p>
        </w:tc>
        <w:tc>
          <w:tcPr>
            <w:tcW w:w="852" w:type="dxa"/>
            <w:noWrap w:val="0"/>
            <w:vAlign w:val="center"/>
          </w:tcPr>
          <w:p>
            <w:pPr>
              <w:autoSpaceDN w:val="0"/>
              <w:spacing w:line="400" w:lineRule="exact"/>
              <w:jc w:val="center"/>
              <w:rPr>
                <w:color w:val="404040"/>
                <w:sz w:val="18"/>
                <w:szCs w:val="18"/>
              </w:rPr>
            </w:pPr>
            <w:r>
              <w:rPr>
                <w:color w:val="404040"/>
                <w:sz w:val="18"/>
                <w:szCs w:val="18"/>
              </w:rPr>
              <w:t>3</w:t>
            </w:r>
          </w:p>
        </w:tc>
        <w:tc>
          <w:tcPr>
            <w:tcW w:w="852" w:type="dxa"/>
            <w:noWrap w:val="0"/>
            <w:vAlign w:val="center"/>
          </w:tcPr>
          <w:p>
            <w:pPr>
              <w:autoSpaceDN w:val="0"/>
              <w:spacing w:line="400" w:lineRule="exact"/>
              <w:jc w:val="center"/>
              <w:rPr>
                <w:color w:val="404040"/>
                <w:sz w:val="18"/>
                <w:szCs w:val="18"/>
              </w:rPr>
            </w:pPr>
            <w:r>
              <w:rPr>
                <w:color w:val="404040"/>
                <w:sz w:val="18"/>
                <w:szCs w:val="18"/>
              </w:rPr>
              <w:t>4</w:t>
            </w:r>
          </w:p>
        </w:tc>
        <w:tc>
          <w:tcPr>
            <w:tcW w:w="852" w:type="dxa"/>
            <w:noWrap w:val="0"/>
            <w:vAlign w:val="center"/>
          </w:tcPr>
          <w:p>
            <w:pPr>
              <w:autoSpaceDN w:val="0"/>
              <w:spacing w:line="400" w:lineRule="exact"/>
              <w:jc w:val="center"/>
              <w:rPr>
                <w:color w:val="404040"/>
                <w:sz w:val="18"/>
                <w:szCs w:val="18"/>
              </w:rPr>
            </w:pPr>
            <w:r>
              <w:rPr>
                <w:color w:val="404040"/>
                <w:sz w:val="18"/>
                <w:szCs w:val="18"/>
              </w:rPr>
              <w:t>5</w:t>
            </w:r>
          </w:p>
        </w:tc>
        <w:tc>
          <w:tcPr>
            <w:tcW w:w="852" w:type="dxa"/>
            <w:noWrap w:val="0"/>
            <w:vAlign w:val="center"/>
          </w:tcPr>
          <w:p>
            <w:pPr>
              <w:autoSpaceDN w:val="0"/>
              <w:spacing w:line="400" w:lineRule="exact"/>
              <w:jc w:val="center"/>
              <w:rPr>
                <w:color w:val="404040"/>
                <w:sz w:val="18"/>
                <w:szCs w:val="18"/>
              </w:rPr>
            </w:pPr>
            <w:r>
              <w:rPr>
                <w:color w:val="404040"/>
                <w:sz w:val="18"/>
                <w:szCs w:val="18"/>
              </w:rPr>
              <w:t>6</w:t>
            </w:r>
          </w:p>
        </w:tc>
        <w:tc>
          <w:tcPr>
            <w:tcW w:w="852" w:type="dxa"/>
            <w:noWrap w:val="0"/>
            <w:vAlign w:val="center"/>
          </w:tcPr>
          <w:p>
            <w:pPr>
              <w:autoSpaceDN w:val="0"/>
              <w:spacing w:line="400" w:lineRule="exact"/>
              <w:jc w:val="center"/>
              <w:rPr>
                <w:color w:val="404040"/>
                <w:sz w:val="18"/>
                <w:szCs w:val="18"/>
              </w:rPr>
            </w:pPr>
            <w:r>
              <w:rPr>
                <w:color w:val="404040"/>
                <w:sz w:val="18"/>
                <w:szCs w:val="18"/>
              </w:rPr>
              <w:t>7</w:t>
            </w:r>
          </w:p>
        </w:tc>
        <w:tc>
          <w:tcPr>
            <w:tcW w:w="852" w:type="dxa"/>
            <w:noWrap w:val="0"/>
            <w:vAlign w:val="center"/>
          </w:tcPr>
          <w:p>
            <w:pPr>
              <w:autoSpaceDN w:val="0"/>
              <w:spacing w:line="400" w:lineRule="exact"/>
              <w:jc w:val="center"/>
              <w:rPr>
                <w:color w:val="404040"/>
                <w:sz w:val="18"/>
                <w:szCs w:val="18"/>
              </w:rPr>
            </w:pPr>
            <w:r>
              <w:rPr>
                <w:color w:val="404040"/>
                <w:sz w:val="18"/>
                <w:szCs w:val="18"/>
              </w:rPr>
              <w:t>8</w:t>
            </w:r>
          </w:p>
        </w:tc>
        <w:tc>
          <w:tcPr>
            <w:tcW w:w="852" w:type="dxa"/>
            <w:noWrap w:val="0"/>
            <w:vAlign w:val="center"/>
          </w:tcPr>
          <w:p>
            <w:pPr>
              <w:autoSpaceDN w:val="0"/>
              <w:spacing w:line="400" w:lineRule="exact"/>
              <w:jc w:val="center"/>
              <w:rPr>
                <w:color w:val="404040"/>
                <w:sz w:val="18"/>
                <w:szCs w:val="18"/>
              </w:rPr>
            </w:pPr>
            <w:r>
              <w:rPr>
                <w:color w:val="404040"/>
                <w:sz w:val="18"/>
                <w:szCs w:val="18"/>
              </w:rPr>
              <w:t>9</w:t>
            </w:r>
          </w:p>
        </w:tc>
        <w:tc>
          <w:tcPr>
            <w:tcW w:w="852" w:type="dxa"/>
            <w:noWrap w:val="0"/>
            <w:vAlign w:val="center"/>
          </w:tcPr>
          <w:p>
            <w:pPr>
              <w:autoSpaceDN w:val="0"/>
              <w:spacing w:line="400" w:lineRule="exact"/>
              <w:jc w:val="center"/>
              <w:rPr>
                <w:color w:val="404040"/>
                <w:sz w:val="18"/>
                <w:szCs w:val="18"/>
              </w:rPr>
            </w:pPr>
            <w:r>
              <w:rPr>
                <w:color w:val="40404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11</w:t>
            </w:r>
          </w:p>
        </w:tc>
        <w:tc>
          <w:tcPr>
            <w:tcW w:w="853" w:type="dxa"/>
            <w:noWrap w:val="0"/>
            <w:vAlign w:val="center"/>
          </w:tcPr>
          <w:p>
            <w:pPr>
              <w:autoSpaceDN w:val="0"/>
              <w:spacing w:line="400" w:lineRule="exact"/>
              <w:jc w:val="center"/>
              <w:rPr>
                <w:color w:val="404040"/>
                <w:sz w:val="18"/>
                <w:szCs w:val="18"/>
              </w:rPr>
            </w:pPr>
            <w:r>
              <w:rPr>
                <w:color w:val="404040"/>
                <w:sz w:val="18"/>
                <w:szCs w:val="18"/>
              </w:rPr>
              <w:t>12</w:t>
            </w:r>
          </w:p>
        </w:tc>
        <w:tc>
          <w:tcPr>
            <w:tcW w:w="852" w:type="dxa"/>
            <w:noWrap w:val="0"/>
            <w:vAlign w:val="center"/>
          </w:tcPr>
          <w:p>
            <w:pPr>
              <w:autoSpaceDN w:val="0"/>
              <w:spacing w:line="400" w:lineRule="exact"/>
              <w:jc w:val="center"/>
              <w:rPr>
                <w:color w:val="404040"/>
                <w:sz w:val="18"/>
                <w:szCs w:val="18"/>
              </w:rPr>
            </w:pPr>
            <w:r>
              <w:rPr>
                <w:color w:val="404040"/>
                <w:sz w:val="18"/>
                <w:szCs w:val="18"/>
              </w:rPr>
              <w:t>13</w:t>
            </w:r>
          </w:p>
        </w:tc>
        <w:tc>
          <w:tcPr>
            <w:tcW w:w="852" w:type="dxa"/>
            <w:noWrap w:val="0"/>
            <w:vAlign w:val="center"/>
          </w:tcPr>
          <w:p>
            <w:pPr>
              <w:autoSpaceDN w:val="0"/>
              <w:spacing w:line="400" w:lineRule="exact"/>
              <w:jc w:val="center"/>
              <w:rPr>
                <w:color w:val="404040"/>
                <w:sz w:val="18"/>
                <w:szCs w:val="18"/>
              </w:rPr>
            </w:pPr>
            <w:r>
              <w:rPr>
                <w:color w:val="404040"/>
                <w:sz w:val="18"/>
                <w:szCs w:val="18"/>
              </w:rPr>
              <w:t>14</w:t>
            </w:r>
          </w:p>
        </w:tc>
        <w:tc>
          <w:tcPr>
            <w:tcW w:w="852" w:type="dxa"/>
            <w:noWrap w:val="0"/>
            <w:vAlign w:val="center"/>
          </w:tcPr>
          <w:p>
            <w:pPr>
              <w:autoSpaceDN w:val="0"/>
              <w:spacing w:line="400" w:lineRule="exact"/>
              <w:jc w:val="center"/>
              <w:rPr>
                <w:color w:val="404040"/>
                <w:sz w:val="18"/>
                <w:szCs w:val="18"/>
              </w:rPr>
            </w:pPr>
            <w:r>
              <w:rPr>
                <w:color w:val="404040"/>
                <w:sz w:val="18"/>
                <w:szCs w:val="18"/>
              </w:rPr>
              <w:t>15</w:t>
            </w:r>
          </w:p>
        </w:tc>
        <w:tc>
          <w:tcPr>
            <w:tcW w:w="852" w:type="dxa"/>
            <w:noWrap w:val="0"/>
            <w:vAlign w:val="center"/>
          </w:tcPr>
          <w:p>
            <w:pPr>
              <w:autoSpaceDN w:val="0"/>
              <w:spacing w:line="400" w:lineRule="exact"/>
              <w:jc w:val="center"/>
              <w:rPr>
                <w:color w:val="404040"/>
                <w:sz w:val="18"/>
                <w:szCs w:val="18"/>
              </w:rPr>
            </w:pPr>
            <w:r>
              <w:rPr>
                <w:color w:val="404040"/>
                <w:sz w:val="18"/>
                <w:szCs w:val="18"/>
              </w:rPr>
              <w:t>16</w:t>
            </w:r>
          </w:p>
        </w:tc>
        <w:tc>
          <w:tcPr>
            <w:tcW w:w="852" w:type="dxa"/>
            <w:noWrap w:val="0"/>
            <w:vAlign w:val="center"/>
          </w:tcPr>
          <w:p>
            <w:pPr>
              <w:autoSpaceDN w:val="0"/>
              <w:spacing w:line="400" w:lineRule="exact"/>
              <w:jc w:val="center"/>
              <w:rPr>
                <w:color w:val="404040"/>
                <w:sz w:val="18"/>
                <w:szCs w:val="18"/>
              </w:rPr>
            </w:pPr>
            <w:r>
              <w:rPr>
                <w:color w:val="404040"/>
                <w:sz w:val="18"/>
                <w:szCs w:val="18"/>
              </w:rPr>
              <w:t>17</w:t>
            </w:r>
          </w:p>
        </w:tc>
        <w:tc>
          <w:tcPr>
            <w:tcW w:w="852" w:type="dxa"/>
            <w:noWrap w:val="0"/>
            <w:vAlign w:val="center"/>
          </w:tcPr>
          <w:p>
            <w:pPr>
              <w:autoSpaceDN w:val="0"/>
              <w:spacing w:line="400" w:lineRule="exact"/>
              <w:jc w:val="center"/>
              <w:rPr>
                <w:color w:val="404040"/>
                <w:sz w:val="18"/>
                <w:szCs w:val="18"/>
              </w:rPr>
            </w:pPr>
            <w:r>
              <w:rPr>
                <w:color w:val="404040"/>
                <w:sz w:val="18"/>
                <w:szCs w:val="18"/>
              </w:rPr>
              <w:t>18</w:t>
            </w:r>
          </w:p>
        </w:tc>
        <w:tc>
          <w:tcPr>
            <w:tcW w:w="852" w:type="dxa"/>
            <w:noWrap w:val="0"/>
            <w:vAlign w:val="center"/>
          </w:tcPr>
          <w:p>
            <w:pPr>
              <w:autoSpaceDN w:val="0"/>
              <w:spacing w:line="400" w:lineRule="exact"/>
              <w:jc w:val="center"/>
              <w:rPr>
                <w:color w:val="404040"/>
                <w:sz w:val="18"/>
                <w:szCs w:val="18"/>
              </w:rPr>
            </w:pPr>
            <w:r>
              <w:rPr>
                <w:color w:val="404040"/>
                <w:sz w:val="18"/>
                <w:szCs w:val="18"/>
              </w:rPr>
              <w:t>19</w:t>
            </w:r>
          </w:p>
        </w:tc>
        <w:tc>
          <w:tcPr>
            <w:tcW w:w="852" w:type="dxa"/>
            <w:noWrap w:val="0"/>
            <w:vAlign w:val="center"/>
          </w:tcPr>
          <w:p>
            <w:pPr>
              <w:autoSpaceDN w:val="0"/>
              <w:spacing w:line="400" w:lineRule="exact"/>
              <w:jc w:val="center"/>
              <w:rPr>
                <w:color w:val="404040"/>
                <w:sz w:val="18"/>
                <w:szCs w:val="18"/>
              </w:rPr>
            </w:pPr>
            <w:r>
              <w:rPr>
                <w:color w:val="40404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21</w:t>
            </w:r>
          </w:p>
        </w:tc>
        <w:tc>
          <w:tcPr>
            <w:tcW w:w="853" w:type="dxa"/>
            <w:noWrap w:val="0"/>
            <w:vAlign w:val="center"/>
          </w:tcPr>
          <w:p>
            <w:pPr>
              <w:autoSpaceDN w:val="0"/>
              <w:spacing w:line="400" w:lineRule="exact"/>
              <w:jc w:val="center"/>
              <w:rPr>
                <w:color w:val="404040"/>
                <w:sz w:val="18"/>
                <w:szCs w:val="18"/>
              </w:rPr>
            </w:pPr>
            <w:r>
              <w:rPr>
                <w:color w:val="404040"/>
                <w:sz w:val="18"/>
                <w:szCs w:val="18"/>
              </w:rPr>
              <w:t>22</w:t>
            </w:r>
          </w:p>
        </w:tc>
        <w:tc>
          <w:tcPr>
            <w:tcW w:w="852" w:type="dxa"/>
            <w:noWrap w:val="0"/>
            <w:vAlign w:val="center"/>
          </w:tcPr>
          <w:p>
            <w:pPr>
              <w:autoSpaceDN w:val="0"/>
              <w:spacing w:line="400" w:lineRule="exact"/>
              <w:jc w:val="center"/>
              <w:rPr>
                <w:color w:val="404040"/>
                <w:sz w:val="18"/>
                <w:szCs w:val="18"/>
              </w:rPr>
            </w:pPr>
            <w:r>
              <w:rPr>
                <w:color w:val="404040"/>
                <w:sz w:val="18"/>
                <w:szCs w:val="18"/>
              </w:rPr>
              <w:t>23</w:t>
            </w:r>
          </w:p>
        </w:tc>
        <w:tc>
          <w:tcPr>
            <w:tcW w:w="852" w:type="dxa"/>
            <w:noWrap w:val="0"/>
            <w:vAlign w:val="center"/>
          </w:tcPr>
          <w:p>
            <w:pPr>
              <w:autoSpaceDN w:val="0"/>
              <w:spacing w:line="400" w:lineRule="exact"/>
              <w:jc w:val="center"/>
              <w:rPr>
                <w:color w:val="404040"/>
                <w:sz w:val="18"/>
                <w:szCs w:val="18"/>
              </w:rPr>
            </w:pPr>
            <w:r>
              <w:rPr>
                <w:color w:val="404040"/>
                <w:sz w:val="18"/>
                <w:szCs w:val="18"/>
              </w:rPr>
              <w:t>24</w:t>
            </w:r>
          </w:p>
        </w:tc>
        <w:tc>
          <w:tcPr>
            <w:tcW w:w="852" w:type="dxa"/>
            <w:noWrap w:val="0"/>
            <w:vAlign w:val="center"/>
          </w:tcPr>
          <w:p>
            <w:pPr>
              <w:autoSpaceDN w:val="0"/>
              <w:spacing w:line="400" w:lineRule="exact"/>
              <w:jc w:val="center"/>
              <w:rPr>
                <w:color w:val="404040"/>
                <w:sz w:val="18"/>
                <w:szCs w:val="18"/>
              </w:rPr>
            </w:pPr>
            <w:r>
              <w:rPr>
                <w:color w:val="404040"/>
                <w:sz w:val="18"/>
                <w:szCs w:val="18"/>
              </w:rPr>
              <w:t>25</w:t>
            </w:r>
          </w:p>
        </w:tc>
        <w:tc>
          <w:tcPr>
            <w:tcW w:w="852" w:type="dxa"/>
            <w:noWrap w:val="0"/>
            <w:vAlign w:val="center"/>
          </w:tcPr>
          <w:p>
            <w:pPr>
              <w:autoSpaceDN w:val="0"/>
              <w:spacing w:line="400" w:lineRule="exact"/>
              <w:jc w:val="center"/>
              <w:rPr>
                <w:color w:val="404040"/>
                <w:sz w:val="18"/>
                <w:szCs w:val="18"/>
              </w:rPr>
            </w:pPr>
            <w:r>
              <w:rPr>
                <w:color w:val="404040"/>
                <w:sz w:val="18"/>
                <w:szCs w:val="18"/>
              </w:rPr>
              <w:t>26</w:t>
            </w:r>
          </w:p>
        </w:tc>
        <w:tc>
          <w:tcPr>
            <w:tcW w:w="852" w:type="dxa"/>
            <w:noWrap w:val="0"/>
            <w:vAlign w:val="center"/>
          </w:tcPr>
          <w:p>
            <w:pPr>
              <w:autoSpaceDN w:val="0"/>
              <w:spacing w:line="400" w:lineRule="exact"/>
              <w:jc w:val="center"/>
              <w:rPr>
                <w:color w:val="404040"/>
                <w:sz w:val="18"/>
                <w:szCs w:val="18"/>
              </w:rPr>
            </w:pPr>
            <w:r>
              <w:rPr>
                <w:color w:val="404040"/>
                <w:sz w:val="18"/>
                <w:szCs w:val="18"/>
              </w:rPr>
              <w:t>27</w:t>
            </w:r>
          </w:p>
        </w:tc>
        <w:tc>
          <w:tcPr>
            <w:tcW w:w="852" w:type="dxa"/>
            <w:noWrap w:val="0"/>
            <w:vAlign w:val="center"/>
          </w:tcPr>
          <w:p>
            <w:pPr>
              <w:autoSpaceDN w:val="0"/>
              <w:spacing w:line="400" w:lineRule="exact"/>
              <w:jc w:val="center"/>
              <w:rPr>
                <w:color w:val="404040"/>
                <w:sz w:val="18"/>
                <w:szCs w:val="18"/>
              </w:rPr>
            </w:pPr>
            <w:r>
              <w:rPr>
                <w:color w:val="404040"/>
                <w:sz w:val="18"/>
                <w:szCs w:val="18"/>
              </w:rPr>
              <w:t>28</w:t>
            </w:r>
          </w:p>
        </w:tc>
        <w:tc>
          <w:tcPr>
            <w:tcW w:w="852" w:type="dxa"/>
            <w:noWrap w:val="0"/>
            <w:vAlign w:val="center"/>
          </w:tcPr>
          <w:p>
            <w:pPr>
              <w:autoSpaceDN w:val="0"/>
              <w:spacing w:line="400" w:lineRule="exact"/>
              <w:jc w:val="center"/>
              <w:rPr>
                <w:color w:val="404040"/>
                <w:sz w:val="18"/>
                <w:szCs w:val="18"/>
              </w:rPr>
            </w:pPr>
            <w:r>
              <w:rPr>
                <w:color w:val="404040"/>
                <w:sz w:val="18"/>
                <w:szCs w:val="18"/>
              </w:rPr>
              <w:t>29</w:t>
            </w:r>
          </w:p>
        </w:tc>
        <w:tc>
          <w:tcPr>
            <w:tcW w:w="852" w:type="dxa"/>
            <w:noWrap w:val="0"/>
            <w:vAlign w:val="center"/>
          </w:tcPr>
          <w:p>
            <w:pPr>
              <w:autoSpaceDN w:val="0"/>
              <w:spacing w:line="400" w:lineRule="exact"/>
              <w:jc w:val="center"/>
              <w:rPr>
                <w:color w:val="404040"/>
                <w:sz w:val="18"/>
                <w:szCs w:val="18"/>
              </w:rPr>
            </w:pPr>
            <w:r>
              <w:rPr>
                <w:color w:val="40404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31</w:t>
            </w:r>
          </w:p>
        </w:tc>
        <w:tc>
          <w:tcPr>
            <w:tcW w:w="853" w:type="dxa"/>
            <w:noWrap w:val="0"/>
            <w:vAlign w:val="center"/>
          </w:tcPr>
          <w:p>
            <w:pPr>
              <w:autoSpaceDN w:val="0"/>
              <w:spacing w:line="400" w:lineRule="exact"/>
              <w:jc w:val="center"/>
              <w:rPr>
                <w:color w:val="404040"/>
                <w:sz w:val="18"/>
                <w:szCs w:val="18"/>
              </w:rPr>
            </w:pPr>
            <w:r>
              <w:rPr>
                <w:color w:val="404040"/>
                <w:sz w:val="18"/>
                <w:szCs w:val="18"/>
              </w:rPr>
              <w:t>32</w:t>
            </w:r>
          </w:p>
        </w:tc>
        <w:tc>
          <w:tcPr>
            <w:tcW w:w="852" w:type="dxa"/>
            <w:noWrap w:val="0"/>
            <w:vAlign w:val="center"/>
          </w:tcPr>
          <w:p>
            <w:pPr>
              <w:autoSpaceDN w:val="0"/>
              <w:spacing w:line="400" w:lineRule="exact"/>
              <w:jc w:val="center"/>
              <w:rPr>
                <w:color w:val="404040"/>
                <w:sz w:val="18"/>
                <w:szCs w:val="18"/>
              </w:rPr>
            </w:pPr>
            <w:r>
              <w:rPr>
                <w:color w:val="404040"/>
                <w:sz w:val="18"/>
                <w:szCs w:val="18"/>
              </w:rPr>
              <w:t>33</w:t>
            </w:r>
          </w:p>
        </w:tc>
        <w:tc>
          <w:tcPr>
            <w:tcW w:w="852" w:type="dxa"/>
            <w:noWrap w:val="0"/>
            <w:vAlign w:val="center"/>
          </w:tcPr>
          <w:p>
            <w:pPr>
              <w:autoSpaceDN w:val="0"/>
              <w:spacing w:line="400" w:lineRule="exact"/>
              <w:jc w:val="center"/>
              <w:rPr>
                <w:color w:val="404040"/>
                <w:sz w:val="18"/>
                <w:szCs w:val="18"/>
              </w:rPr>
            </w:pPr>
            <w:r>
              <w:rPr>
                <w:color w:val="404040"/>
                <w:sz w:val="18"/>
                <w:szCs w:val="18"/>
              </w:rPr>
              <w:t>34</w:t>
            </w:r>
          </w:p>
        </w:tc>
        <w:tc>
          <w:tcPr>
            <w:tcW w:w="852" w:type="dxa"/>
            <w:noWrap w:val="0"/>
            <w:vAlign w:val="center"/>
          </w:tcPr>
          <w:p>
            <w:pPr>
              <w:autoSpaceDN w:val="0"/>
              <w:spacing w:line="400" w:lineRule="exact"/>
              <w:jc w:val="center"/>
              <w:rPr>
                <w:color w:val="404040"/>
                <w:sz w:val="18"/>
                <w:szCs w:val="18"/>
              </w:rPr>
            </w:pPr>
            <w:r>
              <w:rPr>
                <w:color w:val="404040"/>
                <w:sz w:val="18"/>
                <w:szCs w:val="18"/>
              </w:rPr>
              <w:t>35</w:t>
            </w:r>
          </w:p>
        </w:tc>
        <w:tc>
          <w:tcPr>
            <w:tcW w:w="852" w:type="dxa"/>
            <w:noWrap w:val="0"/>
            <w:vAlign w:val="center"/>
          </w:tcPr>
          <w:p>
            <w:pPr>
              <w:autoSpaceDN w:val="0"/>
              <w:spacing w:line="400" w:lineRule="exact"/>
              <w:jc w:val="center"/>
              <w:rPr>
                <w:color w:val="404040"/>
                <w:sz w:val="18"/>
                <w:szCs w:val="18"/>
              </w:rPr>
            </w:pPr>
            <w:r>
              <w:rPr>
                <w:color w:val="404040"/>
                <w:sz w:val="18"/>
                <w:szCs w:val="18"/>
              </w:rPr>
              <w:t>36</w:t>
            </w:r>
          </w:p>
        </w:tc>
        <w:tc>
          <w:tcPr>
            <w:tcW w:w="852" w:type="dxa"/>
            <w:noWrap w:val="0"/>
            <w:vAlign w:val="center"/>
          </w:tcPr>
          <w:p>
            <w:pPr>
              <w:autoSpaceDN w:val="0"/>
              <w:spacing w:line="400" w:lineRule="exact"/>
              <w:jc w:val="center"/>
              <w:rPr>
                <w:color w:val="404040"/>
                <w:sz w:val="18"/>
                <w:szCs w:val="18"/>
              </w:rPr>
            </w:pPr>
            <w:r>
              <w:rPr>
                <w:color w:val="404040"/>
                <w:sz w:val="18"/>
                <w:szCs w:val="18"/>
              </w:rPr>
              <w:t>37</w:t>
            </w:r>
          </w:p>
        </w:tc>
        <w:tc>
          <w:tcPr>
            <w:tcW w:w="852" w:type="dxa"/>
            <w:noWrap w:val="0"/>
            <w:vAlign w:val="center"/>
          </w:tcPr>
          <w:p>
            <w:pPr>
              <w:autoSpaceDN w:val="0"/>
              <w:spacing w:line="400" w:lineRule="exact"/>
              <w:jc w:val="center"/>
              <w:rPr>
                <w:color w:val="404040"/>
                <w:sz w:val="18"/>
                <w:szCs w:val="18"/>
              </w:rPr>
            </w:pPr>
            <w:r>
              <w:rPr>
                <w:color w:val="404040"/>
                <w:sz w:val="18"/>
                <w:szCs w:val="18"/>
              </w:rPr>
              <w:t>38</w:t>
            </w:r>
          </w:p>
        </w:tc>
        <w:tc>
          <w:tcPr>
            <w:tcW w:w="852" w:type="dxa"/>
            <w:noWrap w:val="0"/>
            <w:vAlign w:val="center"/>
          </w:tcPr>
          <w:p>
            <w:pPr>
              <w:autoSpaceDN w:val="0"/>
              <w:spacing w:line="400" w:lineRule="exact"/>
              <w:jc w:val="center"/>
              <w:rPr>
                <w:color w:val="404040"/>
                <w:sz w:val="18"/>
                <w:szCs w:val="18"/>
              </w:rPr>
            </w:pPr>
            <w:r>
              <w:rPr>
                <w:color w:val="404040"/>
                <w:sz w:val="18"/>
                <w:szCs w:val="18"/>
              </w:rPr>
              <w:t>39</w:t>
            </w:r>
          </w:p>
        </w:tc>
        <w:tc>
          <w:tcPr>
            <w:tcW w:w="852" w:type="dxa"/>
            <w:noWrap w:val="0"/>
            <w:vAlign w:val="center"/>
          </w:tcPr>
          <w:p>
            <w:pPr>
              <w:autoSpaceDN w:val="0"/>
              <w:spacing w:line="400" w:lineRule="exact"/>
              <w:jc w:val="center"/>
              <w:rPr>
                <w:color w:val="404040"/>
                <w:sz w:val="18"/>
                <w:szCs w:val="18"/>
              </w:rPr>
            </w:pPr>
            <w:r>
              <w:rPr>
                <w:color w:val="404040"/>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41</w:t>
            </w:r>
          </w:p>
        </w:tc>
        <w:tc>
          <w:tcPr>
            <w:tcW w:w="853" w:type="dxa"/>
            <w:noWrap w:val="0"/>
            <w:vAlign w:val="center"/>
          </w:tcPr>
          <w:p>
            <w:pPr>
              <w:autoSpaceDN w:val="0"/>
              <w:spacing w:line="400" w:lineRule="exact"/>
              <w:jc w:val="center"/>
              <w:rPr>
                <w:color w:val="404040"/>
                <w:sz w:val="18"/>
                <w:szCs w:val="18"/>
              </w:rPr>
            </w:pPr>
            <w:r>
              <w:rPr>
                <w:color w:val="404040"/>
                <w:sz w:val="18"/>
                <w:szCs w:val="18"/>
              </w:rPr>
              <w:t>42</w:t>
            </w:r>
          </w:p>
        </w:tc>
        <w:tc>
          <w:tcPr>
            <w:tcW w:w="852" w:type="dxa"/>
            <w:noWrap w:val="0"/>
            <w:vAlign w:val="center"/>
          </w:tcPr>
          <w:p>
            <w:pPr>
              <w:autoSpaceDN w:val="0"/>
              <w:spacing w:line="400" w:lineRule="exact"/>
              <w:jc w:val="center"/>
              <w:rPr>
                <w:color w:val="404040"/>
                <w:sz w:val="18"/>
                <w:szCs w:val="18"/>
              </w:rPr>
            </w:pPr>
            <w:r>
              <w:rPr>
                <w:color w:val="404040"/>
                <w:sz w:val="18"/>
                <w:szCs w:val="18"/>
              </w:rPr>
              <w:t>43</w:t>
            </w:r>
          </w:p>
        </w:tc>
        <w:tc>
          <w:tcPr>
            <w:tcW w:w="852" w:type="dxa"/>
            <w:noWrap w:val="0"/>
            <w:vAlign w:val="center"/>
          </w:tcPr>
          <w:p>
            <w:pPr>
              <w:autoSpaceDN w:val="0"/>
              <w:spacing w:line="400" w:lineRule="exact"/>
              <w:jc w:val="center"/>
              <w:rPr>
                <w:color w:val="404040"/>
                <w:sz w:val="18"/>
                <w:szCs w:val="18"/>
              </w:rPr>
            </w:pPr>
            <w:r>
              <w:rPr>
                <w:color w:val="404040"/>
                <w:sz w:val="18"/>
                <w:szCs w:val="18"/>
              </w:rPr>
              <w:t>44</w:t>
            </w:r>
          </w:p>
        </w:tc>
        <w:tc>
          <w:tcPr>
            <w:tcW w:w="852" w:type="dxa"/>
            <w:noWrap w:val="0"/>
            <w:vAlign w:val="center"/>
          </w:tcPr>
          <w:p>
            <w:pPr>
              <w:autoSpaceDN w:val="0"/>
              <w:spacing w:line="400" w:lineRule="exact"/>
              <w:jc w:val="center"/>
              <w:rPr>
                <w:color w:val="404040"/>
                <w:sz w:val="18"/>
                <w:szCs w:val="18"/>
              </w:rPr>
            </w:pPr>
            <w:r>
              <w:rPr>
                <w:color w:val="404040"/>
                <w:sz w:val="18"/>
                <w:szCs w:val="18"/>
              </w:rPr>
              <w:t>45</w:t>
            </w:r>
          </w:p>
        </w:tc>
        <w:tc>
          <w:tcPr>
            <w:tcW w:w="852" w:type="dxa"/>
            <w:noWrap w:val="0"/>
            <w:vAlign w:val="center"/>
          </w:tcPr>
          <w:p>
            <w:pPr>
              <w:autoSpaceDN w:val="0"/>
              <w:spacing w:line="400" w:lineRule="exact"/>
              <w:jc w:val="center"/>
              <w:rPr>
                <w:color w:val="404040"/>
                <w:sz w:val="18"/>
                <w:szCs w:val="18"/>
              </w:rPr>
            </w:pPr>
            <w:r>
              <w:rPr>
                <w:color w:val="404040"/>
                <w:sz w:val="18"/>
                <w:szCs w:val="18"/>
              </w:rPr>
              <w:t>46</w:t>
            </w:r>
          </w:p>
        </w:tc>
        <w:tc>
          <w:tcPr>
            <w:tcW w:w="852" w:type="dxa"/>
            <w:noWrap w:val="0"/>
            <w:vAlign w:val="center"/>
          </w:tcPr>
          <w:p>
            <w:pPr>
              <w:autoSpaceDN w:val="0"/>
              <w:spacing w:line="400" w:lineRule="exact"/>
              <w:jc w:val="center"/>
              <w:rPr>
                <w:color w:val="404040"/>
                <w:sz w:val="18"/>
                <w:szCs w:val="18"/>
              </w:rPr>
            </w:pPr>
            <w:r>
              <w:rPr>
                <w:color w:val="404040"/>
                <w:sz w:val="18"/>
                <w:szCs w:val="18"/>
              </w:rPr>
              <w:t>47</w:t>
            </w:r>
          </w:p>
        </w:tc>
        <w:tc>
          <w:tcPr>
            <w:tcW w:w="852" w:type="dxa"/>
            <w:noWrap w:val="0"/>
            <w:vAlign w:val="center"/>
          </w:tcPr>
          <w:p>
            <w:pPr>
              <w:autoSpaceDN w:val="0"/>
              <w:spacing w:line="400" w:lineRule="exact"/>
              <w:jc w:val="center"/>
              <w:rPr>
                <w:color w:val="404040"/>
                <w:sz w:val="18"/>
                <w:szCs w:val="18"/>
              </w:rPr>
            </w:pPr>
            <w:r>
              <w:rPr>
                <w:color w:val="404040"/>
                <w:sz w:val="18"/>
                <w:szCs w:val="18"/>
              </w:rPr>
              <w:t>48</w:t>
            </w:r>
          </w:p>
        </w:tc>
        <w:tc>
          <w:tcPr>
            <w:tcW w:w="852" w:type="dxa"/>
            <w:noWrap w:val="0"/>
            <w:vAlign w:val="center"/>
          </w:tcPr>
          <w:p>
            <w:pPr>
              <w:autoSpaceDN w:val="0"/>
              <w:spacing w:line="400" w:lineRule="exact"/>
              <w:jc w:val="center"/>
              <w:rPr>
                <w:color w:val="404040"/>
                <w:sz w:val="18"/>
                <w:szCs w:val="18"/>
              </w:rPr>
            </w:pPr>
            <w:r>
              <w:rPr>
                <w:color w:val="404040"/>
                <w:sz w:val="18"/>
                <w:szCs w:val="18"/>
              </w:rPr>
              <w:t>49</w:t>
            </w:r>
          </w:p>
        </w:tc>
        <w:tc>
          <w:tcPr>
            <w:tcW w:w="852" w:type="dxa"/>
            <w:noWrap w:val="0"/>
            <w:vAlign w:val="center"/>
          </w:tcPr>
          <w:p>
            <w:pPr>
              <w:autoSpaceDN w:val="0"/>
              <w:spacing w:line="400" w:lineRule="exact"/>
              <w:jc w:val="center"/>
              <w:rPr>
                <w:color w:val="404040"/>
                <w:sz w:val="18"/>
                <w:szCs w:val="18"/>
              </w:rPr>
            </w:pPr>
            <w:r>
              <w:rPr>
                <w:color w:val="404040"/>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51</w:t>
            </w:r>
          </w:p>
        </w:tc>
        <w:tc>
          <w:tcPr>
            <w:tcW w:w="853" w:type="dxa"/>
            <w:noWrap w:val="0"/>
            <w:vAlign w:val="center"/>
          </w:tcPr>
          <w:p>
            <w:pPr>
              <w:autoSpaceDN w:val="0"/>
              <w:spacing w:line="400" w:lineRule="exact"/>
              <w:jc w:val="center"/>
              <w:rPr>
                <w:color w:val="404040"/>
                <w:sz w:val="18"/>
                <w:szCs w:val="18"/>
              </w:rPr>
            </w:pPr>
            <w:r>
              <w:rPr>
                <w:color w:val="404040"/>
                <w:sz w:val="18"/>
                <w:szCs w:val="18"/>
              </w:rPr>
              <w:t>52</w:t>
            </w:r>
          </w:p>
        </w:tc>
        <w:tc>
          <w:tcPr>
            <w:tcW w:w="852" w:type="dxa"/>
            <w:noWrap w:val="0"/>
            <w:vAlign w:val="center"/>
          </w:tcPr>
          <w:p>
            <w:pPr>
              <w:autoSpaceDN w:val="0"/>
              <w:spacing w:line="400" w:lineRule="exact"/>
              <w:jc w:val="center"/>
              <w:rPr>
                <w:color w:val="404040"/>
                <w:sz w:val="18"/>
                <w:szCs w:val="18"/>
              </w:rPr>
            </w:pPr>
            <w:r>
              <w:rPr>
                <w:color w:val="404040"/>
                <w:sz w:val="18"/>
                <w:szCs w:val="18"/>
              </w:rPr>
              <w:t>53</w:t>
            </w:r>
          </w:p>
        </w:tc>
        <w:tc>
          <w:tcPr>
            <w:tcW w:w="852" w:type="dxa"/>
            <w:noWrap w:val="0"/>
            <w:vAlign w:val="center"/>
          </w:tcPr>
          <w:p>
            <w:pPr>
              <w:autoSpaceDN w:val="0"/>
              <w:spacing w:line="400" w:lineRule="exact"/>
              <w:jc w:val="center"/>
              <w:rPr>
                <w:color w:val="404040"/>
                <w:sz w:val="18"/>
                <w:szCs w:val="18"/>
              </w:rPr>
            </w:pPr>
            <w:r>
              <w:rPr>
                <w:color w:val="404040"/>
                <w:sz w:val="18"/>
                <w:szCs w:val="18"/>
              </w:rPr>
              <w:t>54</w:t>
            </w:r>
          </w:p>
        </w:tc>
        <w:tc>
          <w:tcPr>
            <w:tcW w:w="852" w:type="dxa"/>
            <w:noWrap w:val="0"/>
            <w:vAlign w:val="center"/>
          </w:tcPr>
          <w:p>
            <w:pPr>
              <w:autoSpaceDN w:val="0"/>
              <w:spacing w:line="400" w:lineRule="exact"/>
              <w:jc w:val="center"/>
              <w:rPr>
                <w:color w:val="404040"/>
                <w:sz w:val="18"/>
                <w:szCs w:val="18"/>
              </w:rPr>
            </w:pPr>
            <w:r>
              <w:rPr>
                <w:color w:val="404040"/>
                <w:sz w:val="18"/>
                <w:szCs w:val="18"/>
              </w:rPr>
              <w:t>55</w:t>
            </w:r>
          </w:p>
        </w:tc>
        <w:tc>
          <w:tcPr>
            <w:tcW w:w="852" w:type="dxa"/>
            <w:noWrap w:val="0"/>
            <w:vAlign w:val="center"/>
          </w:tcPr>
          <w:p>
            <w:pPr>
              <w:autoSpaceDN w:val="0"/>
              <w:spacing w:line="400" w:lineRule="exact"/>
              <w:jc w:val="center"/>
              <w:rPr>
                <w:color w:val="404040"/>
                <w:sz w:val="18"/>
                <w:szCs w:val="18"/>
              </w:rPr>
            </w:pPr>
            <w:r>
              <w:rPr>
                <w:color w:val="404040"/>
                <w:sz w:val="18"/>
                <w:szCs w:val="18"/>
              </w:rPr>
              <w:t>56</w:t>
            </w:r>
          </w:p>
        </w:tc>
        <w:tc>
          <w:tcPr>
            <w:tcW w:w="852" w:type="dxa"/>
            <w:noWrap w:val="0"/>
            <w:vAlign w:val="center"/>
          </w:tcPr>
          <w:p>
            <w:pPr>
              <w:autoSpaceDN w:val="0"/>
              <w:spacing w:line="400" w:lineRule="exact"/>
              <w:jc w:val="center"/>
              <w:rPr>
                <w:color w:val="404040"/>
                <w:sz w:val="18"/>
                <w:szCs w:val="18"/>
              </w:rPr>
            </w:pPr>
            <w:r>
              <w:rPr>
                <w:color w:val="404040"/>
                <w:sz w:val="18"/>
                <w:szCs w:val="18"/>
              </w:rPr>
              <w:t>57</w:t>
            </w:r>
          </w:p>
        </w:tc>
        <w:tc>
          <w:tcPr>
            <w:tcW w:w="852" w:type="dxa"/>
            <w:noWrap w:val="0"/>
            <w:vAlign w:val="center"/>
          </w:tcPr>
          <w:p>
            <w:pPr>
              <w:autoSpaceDN w:val="0"/>
              <w:spacing w:line="400" w:lineRule="exact"/>
              <w:jc w:val="center"/>
              <w:rPr>
                <w:color w:val="404040"/>
                <w:sz w:val="18"/>
                <w:szCs w:val="18"/>
              </w:rPr>
            </w:pPr>
            <w:r>
              <w:rPr>
                <w:color w:val="404040"/>
                <w:sz w:val="18"/>
                <w:szCs w:val="18"/>
              </w:rPr>
              <w:t>58</w:t>
            </w:r>
          </w:p>
        </w:tc>
        <w:tc>
          <w:tcPr>
            <w:tcW w:w="852" w:type="dxa"/>
            <w:noWrap w:val="0"/>
            <w:vAlign w:val="center"/>
          </w:tcPr>
          <w:p>
            <w:pPr>
              <w:autoSpaceDN w:val="0"/>
              <w:spacing w:line="400" w:lineRule="exact"/>
              <w:jc w:val="center"/>
              <w:rPr>
                <w:color w:val="404040"/>
                <w:sz w:val="18"/>
                <w:szCs w:val="18"/>
              </w:rPr>
            </w:pPr>
            <w:r>
              <w:rPr>
                <w:color w:val="404040"/>
                <w:sz w:val="18"/>
                <w:szCs w:val="18"/>
              </w:rPr>
              <w:t>59</w:t>
            </w:r>
          </w:p>
        </w:tc>
        <w:tc>
          <w:tcPr>
            <w:tcW w:w="852" w:type="dxa"/>
            <w:noWrap w:val="0"/>
            <w:vAlign w:val="center"/>
          </w:tcPr>
          <w:p>
            <w:pPr>
              <w:autoSpaceDN w:val="0"/>
              <w:spacing w:line="400" w:lineRule="exact"/>
              <w:jc w:val="center"/>
              <w:rPr>
                <w:color w:val="404040"/>
                <w:sz w:val="18"/>
                <w:szCs w:val="18"/>
              </w:rPr>
            </w:pPr>
            <w:r>
              <w:rPr>
                <w:color w:val="404040"/>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61</w:t>
            </w:r>
          </w:p>
        </w:tc>
        <w:tc>
          <w:tcPr>
            <w:tcW w:w="853" w:type="dxa"/>
            <w:noWrap w:val="0"/>
            <w:vAlign w:val="center"/>
          </w:tcPr>
          <w:p>
            <w:pPr>
              <w:autoSpaceDN w:val="0"/>
              <w:spacing w:line="400" w:lineRule="exact"/>
              <w:jc w:val="center"/>
              <w:rPr>
                <w:color w:val="404040"/>
                <w:sz w:val="18"/>
                <w:szCs w:val="18"/>
              </w:rPr>
            </w:pPr>
            <w:r>
              <w:rPr>
                <w:color w:val="404040"/>
                <w:sz w:val="18"/>
                <w:szCs w:val="18"/>
              </w:rPr>
              <w:t>62</w:t>
            </w:r>
          </w:p>
        </w:tc>
        <w:tc>
          <w:tcPr>
            <w:tcW w:w="852" w:type="dxa"/>
            <w:noWrap w:val="0"/>
            <w:vAlign w:val="center"/>
          </w:tcPr>
          <w:p>
            <w:pPr>
              <w:autoSpaceDN w:val="0"/>
              <w:spacing w:line="400" w:lineRule="exact"/>
              <w:jc w:val="center"/>
              <w:rPr>
                <w:color w:val="404040"/>
                <w:sz w:val="18"/>
                <w:szCs w:val="18"/>
              </w:rPr>
            </w:pPr>
            <w:r>
              <w:rPr>
                <w:color w:val="404040"/>
                <w:sz w:val="18"/>
                <w:szCs w:val="18"/>
              </w:rPr>
              <w:t>63</w:t>
            </w:r>
          </w:p>
        </w:tc>
        <w:tc>
          <w:tcPr>
            <w:tcW w:w="852" w:type="dxa"/>
            <w:noWrap w:val="0"/>
            <w:vAlign w:val="center"/>
          </w:tcPr>
          <w:p>
            <w:pPr>
              <w:autoSpaceDN w:val="0"/>
              <w:spacing w:line="400" w:lineRule="exact"/>
              <w:jc w:val="center"/>
              <w:rPr>
                <w:color w:val="404040"/>
                <w:sz w:val="18"/>
                <w:szCs w:val="18"/>
              </w:rPr>
            </w:pPr>
            <w:r>
              <w:rPr>
                <w:color w:val="404040"/>
                <w:sz w:val="18"/>
                <w:szCs w:val="18"/>
              </w:rPr>
              <w:t>64</w:t>
            </w:r>
          </w:p>
        </w:tc>
        <w:tc>
          <w:tcPr>
            <w:tcW w:w="852" w:type="dxa"/>
            <w:noWrap w:val="0"/>
            <w:vAlign w:val="center"/>
          </w:tcPr>
          <w:p>
            <w:pPr>
              <w:autoSpaceDN w:val="0"/>
              <w:spacing w:line="400" w:lineRule="exact"/>
              <w:jc w:val="center"/>
              <w:rPr>
                <w:color w:val="404040"/>
                <w:sz w:val="18"/>
                <w:szCs w:val="18"/>
              </w:rPr>
            </w:pPr>
            <w:r>
              <w:rPr>
                <w:color w:val="404040"/>
                <w:sz w:val="18"/>
                <w:szCs w:val="18"/>
              </w:rPr>
              <w:t>65</w:t>
            </w:r>
          </w:p>
        </w:tc>
        <w:tc>
          <w:tcPr>
            <w:tcW w:w="852" w:type="dxa"/>
            <w:noWrap w:val="0"/>
            <w:vAlign w:val="center"/>
          </w:tcPr>
          <w:p>
            <w:pPr>
              <w:autoSpaceDN w:val="0"/>
              <w:spacing w:line="400" w:lineRule="exact"/>
              <w:jc w:val="center"/>
              <w:rPr>
                <w:color w:val="404040"/>
                <w:sz w:val="18"/>
                <w:szCs w:val="18"/>
              </w:rPr>
            </w:pPr>
            <w:r>
              <w:rPr>
                <w:color w:val="404040"/>
                <w:sz w:val="18"/>
                <w:szCs w:val="18"/>
              </w:rPr>
              <w:t>66</w:t>
            </w:r>
          </w:p>
        </w:tc>
        <w:tc>
          <w:tcPr>
            <w:tcW w:w="852" w:type="dxa"/>
            <w:noWrap w:val="0"/>
            <w:vAlign w:val="center"/>
          </w:tcPr>
          <w:p>
            <w:pPr>
              <w:autoSpaceDN w:val="0"/>
              <w:spacing w:line="400" w:lineRule="exact"/>
              <w:jc w:val="center"/>
              <w:rPr>
                <w:color w:val="404040"/>
                <w:sz w:val="18"/>
                <w:szCs w:val="18"/>
              </w:rPr>
            </w:pPr>
            <w:r>
              <w:rPr>
                <w:color w:val="404040"/>
                <w:sz w:val="18"/>
                <w:szCs w:val="18"/>
              </w:rPr>
              <w:t>67</w:t>
            </w:r>
          </w:p>
        </w:tc>
        <w:tc>
          <w:tcPr>
            <w:tcW w:w="852" w:type="dxa"/>
            <w:noWrap w:val="0"/>
            <w:vAlign w:val="center"/>
          </w:tcPr>
          <w:p>
            <w:pPr>
              <w:autoSpaceDN w:val="0"/>
              <w:spacing w:line="400" w:lineRule="exact"/>
              <w:jc w:val="center"/>
              <w:rPr>
                <w:color w:val="404040"/>
                <w:sz w:val="18"/>
                <w:szCs w:val="18"/>
              </w:rPr>
            </w:pPr>
            <w:r>
              <w:rPr>
                <w:color w:val="404040"/>
                <w:sz w:val="18"/>
                <w:szCs w:val="18"/>
              </w:rPr>
              <w:t>68</w:t>
            </w:r>
          </w:p>
        </w:tc>
        <w:tc>
          <w:tcPr>
            <w:tcW w:w="852" w:type="dxa"/>
            <w:noWrap w:val="0"/>
            <w:vAlign w:val="center"/>
          </w:tcPr>
          <w:p>
            <w:pPr>
              <w:autoSpaceDN w:val="0"/>
              <w:spacing w:line="400" w:lineRule="exact"/>
              <w:jc w:val="center"/>
              <w:rPr>
                <w:color w:val="404040"/>
                <w:sz w:val="18"/>
                <w:szCs w:val="18"/>
              </w:rPr>
            </w:pPr>
            <w:r>
              <w:rPr>
                <w:color w:val="404040"/>
                <w:sz w:val="18"/>
                <w:szCs w:val="18"/>
              </w:rPr>
              <w:t>69</w:t>
            </w:r>
          </w:p>
        </w:tc>
        <w:tc>
          <w:tcPr>
            <w:tcW w:w="852" w:type="dxa"/>
            <w:noWrap w:val="0"/>
            <w:vAlign w:val="center"/>
          </w:tcPr>
          <w:p>
            <w:pPr>
              <w:autoSpaceDN w:val="0"/>
              <w:spacing w:line="400" w:lineRule="exact"/>
              <w:jc w:val="center"/>
              <w:rPr>
                <w:color w:val="404040"/>
                <w:sz w:val="18"/>
                <w:szCs w:val="18"/>
              </w:rPr>
            </w:pPr>
            <w:r>
              <w:rPr>
                <w:color w:val="404040"/>
                <w:sz w:val="18"/>
                <w:szCs w:val="18"/>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71</w:t>
            </w:r>
          </w:p>
        </w:tc>
        <w:tc>
          <w:tcPr>
            <w:tcW w:w="853" w:type="dxa"/>
            <w:noWrap w:val="0"/>
            <w:vAlign w:val="center"/>
          </w:tcPr>
          <w:p>
            <w:pPr>
              <w:autoSpaceDN w:val="0"/>
              <w:spacing w:line="400" w:lineRule="exact"/>
              <w:jc w:val="center"/>
              <w:rPr>
                <w:color w:val="404040"/>
                <w:sz w:val="18"/>
                <w:szCs w:val="18"/>
              </w:rPr>
            </w:pPr>
            <w:r>
              <w:rPr>
                <w:color w:val="404040"/>
                <w:sz w:val="18"/>
                <w:szCs w:val="18"/>
              </w:rPr>
              <w:t>72</w:t>
            </w:r>
          </w:p>
        </w:tc>
        <w:tc>
          <w:tcPr>
            <w:tcW w:w="852" w:type="dxa"/>
            <w:noWrap w:val="0"/>
            <w:vAlign w:val="center"/>
          </w:tcPr>
          <w:p>
            <w:pPr>
              <w:autoSpaceDN w:val="0"/>
              <w:spacing w:line="400" w:lineRule="exact"/>
              <w:jc w:val="center"/>
              <w:rPr>
                <w:color w:val="404040"/>
                <w:sz w:val="18"/>
                <w:szCs w:val="18"/>
              </w:rPr>
            </w:pPr>
            <w:r>
              <w:rPr>
                <w:color w:val="404040"/>
                <w:sz w:val="18"/>
                <w:szCs w:val="18"/>
              </w:rPr>
              <w:t>73</w:t>
            </w:r>
          </w:p>
        </w:tc>
        <w:tc>
          <w:tcPr>
            <w:tcW w:w="852" w:type="dxa"/>
            <w:noWrap w:val="0"/>
            <w:vAlign w:val="center"/>
          </w:tcPr>
          <w:p>
            <w:pPr>
              <w:autoSpaceDN w:val="0"/>
              <w:spacing w:line="400" w:lineRule="exact"/>
              <w:jc w:val="center"/>
              <w:rPr>
                <w:color w:val="404040"/>
                <w:sz w:val="18"/>
                <w:szCs w:val="18"/>
              </w:rPr>
            </w:pPr>
            <w:r>
              <w:rPr>
                <w:color w:val="404040"/>
                <w:sz w:val="18"/>
                <w:szCs w:val="18"/>
              </w:rPr>
              <w:t>74</w:t>
            </w:r>
          </w:p>
        </w:tc>
        <w:tc>
          <w:tcPr>
            <w:tcW w:w="852" w:type="dxa"/>
            <w:noWrap w:val="0"/>
            <w:vAlign w:val="center"/>
          </w:tcPr>
          <w:p>
            <w:pPr>
              <w:autoSpaceDN w:val="0"/>
              <w:spacing w:line="400" w:lineRule="exact"/>
              <w:jc w:val="center"/>
              <w:rPr>
                <w:color w:val="404040"/>
                <w:sz w:val="18"/>
                <w:szCs w:val="18"/>
              </w:rPr>
            </w:pPr>
            <w:r>
              <w:rPr>
                <w:color w:val="404040"/>
                <w:sz w:val="18"/>
                <w:szCs w:val="18"/>
              </w:rPr>
              <w:t>75</w:t>
            </w:r>
          </w:p>
        </w:tc>
        <w:tc>
          <w:tcPr>
            <w:tcW w:w="852" w:type="dxa"/>
            <w:noWrap w:val="0"/>
            <w:vAlign w:val="center"/>
          </w:tcPr>
          <w:p>
            <w:pPr>
              <w:autoSpaceDN w:val="0"/>
              <w:spacing w:line="400" w:lineRule="exact"/>
              <w:jc w:val="center"/>
              <w:rPr>
                <w:color w:val="404040"/>
                <w:sz w:val="18"/>
                <w:szCs w:val="18"/>
              </w:rPr>
            </w:pPr>
            <w:r>
              <w:rPr>
                <w:color w:val="404040"/>
                <w:sz w:val="18"/>
                <w:szCs w:val="18"/>
              </w:rPr>
              <w:t>76</w:t>
            </w:r>
          </w:p>
        </w:tc>
        <w:tc>
          <w:tcPr>
            <w:tcW w:w="852" w:type="dxa"/>
            <w:noWrap w:val="0"/>
            <w:vAlign w:val="center"/>
          </w:tcPr>
          <w:p>
            <w:pPr>
              <w:autoSpaceDN w:val="0"/>
              <w:spacing w:line="400" w:lineRule="exact"/>
              <w:jc w:val="center"/>
              <w:rPr>
                <w:color w:val="404040"/>
                <w:sz w:val="18"/>
                <w:szCs w:val="18"/>
              </w:rPr>
            </w:pPr>
            <w:r>
              <w:rPr>
                <w:color w:val="404040"/>
                <w:sz w:val="18"/>
                <w:szCs w:val="18"/>
              </w:rPr>
              <w:t>77</w:t>
            </w:r>
          </w:p>
        </w:tc>
        <w:tc>
          <w:tcPr>
            <w:tcW w:w="852" w:type="dxa"/>
            <w:noWrap w:val="0"/>
            <w:vAlign w:val="center"/>
          </w:tcPr>
          <w:p>
            <w:pPr>
              <w:autoSpaceDN w:val="0"/>
              <w:spacing w:line="400" w:lineRule="exact"/>
              <w:jc w:val="center"/>
              <w:rPr>
                <w:color w:val="404040"/>
                <w:sz w:val="18"/>
                <w:szCs w:val="18"/>
              </w:rPr>
            </w:pPr>
            <w:r>
              <w:rPr>
                <w:color w:val="404040"/>
                <w:sz w:val="18"/>
                <w:szCs w:val="18"/>
              </w:rPr>
              <w:t>78</w:t>
            </w:r>
          </w:p>
        </w:tc>
        <w:tc>
          <w:tcPr>
            <w:tcW w:w="852" w:type="dxa"/>
            <w:noWrap w:val="0"/>
            <w:vAlign w:val="center"/>
          </w:tcPr>
          <w:p>
            <w:pPr>
              <w:autoSpaceDN w:val="0"/>
              <w:spacing w:line="400" w:lineRule="exact"/>
              <w:jc w:val="center"/>
              <w:rPr>
                <w:color w:val="404040"/>
                <w:sz w:val="18"/>
                <w:szCs w:val="18"/>
              </w:rPr>
            </w:pPr>
            <w:r>
              <w:rPr>
                <w:color w:val="404040"/>
                <w:sz w:val="18"/>
                <w:szCs w:val="18"/>
              </w:rPr>
              <w:t>79</w:t>
            </w:r>
          </w:p>
        </w:tc>
        <w:tc>
          <w:tcPr>
            <w:tcW w:w="852" w:type="dxa"/>
            <w:noWrap w:val="0"/>
            <w:vAlign w:val="center"/>
          </w:tcPr>
          <w:p>
            <w:pPr>
              <w:autoSpaceDN w:val="0"/>
              <w:spacing w:line="400" w:lineRule="exact"/>
              <w:jc w:val="center"/>
              <w:rPr>
                <w:color w:val="404040"/>
                <w:sz w:val="18"/>
                <w:szCs w:val="18"/>
              </w:rPr>
            </w:pPr>
            <w:r>
              <w:rPr>
                <w:color w:val="404040"/>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81</w:t>
            </w:r>
          </w:p>
        </w:tc>
        <w:tc>
          <w:tcPr>
            <w:tcW w:w="853" w:type="dxa"/>
            <w:noWrap w:val="0"/>
            <w:vAlign w:val="center"/>
          </w:tcPr>
          <w:p>
            <w:pPr>
              <w:autoSpaceDN w:val="0"/>
              <w:spacing w:line="400" w:lineRule="exact"/>
              <w:jc w:val="center"/>
              <w:rPr>
                <w:color w:val="404040"/>
                <w:sz w:val="18"/>
                <w:szCs w:val="18"/>
              </w:rPr>
            </w:pPr>
            <w:r>
              <w:rPr>
                <w:color w:val="404040"/>
                <w:sz w:val="18"/>
                <w:szCs w:val="18"/>
              </w:rPr>
              <w:t>82</w:t>
            </w:r>
          </w:p>
        </w:tc>
        <w:tc>
          <w:tcPr>
            <w:tcW w:w="852" w:type="dxa"/>
            <w:noWrap w:val="0"/>
            <w:vAlign w:val="center"/>
          </w:tcPr>
          <w:p>
            <w:pPr>
              <w:autoSpaceDN w:val="0"/>
              <w:spacing w:line="400" w:lineRule="exact"/>
              <w:jc w:val="center"/>
              <w:rPr>
                <w:color w:val="404040"/>
                <w:sz w:val="18"/>
                <w:szCs w:val="18"/>
              </w:rPr>
            </w:pPr>
            <w:r>
              <w:rPr>
                <w:color w:val="404040"/>
                <w:sz w:val="18"/>
                <w:szCs w:val="18"/>
              </w:rPr>
              <w:t>83</w:t>
            </w:r>
          </w:p>
        </w:tc>
        <w:tc>
          <w:tcPr>
            <w:tcW w:w="852" w:type="dxa"/>
            <w:noWrap w:val="0"/>
            <w:vAlign w:val="center"/>
          </w:tcPr>
          <w:p>
            <w:pPr>
              <w:autoSpaceDN w:val="0"/>
              <w:spacing w:line="400" w:lineRule="exact"/>
              <w:jc w:val="center"/>
              <w:rPr>
                <w:color w:val="404040"/>
                <w:sz w:val="18"/>
                <w:szCs w:val="18"/>
              </w:rPr>
            </w:pPr>
            <w:r>
              <w:rPr>
                <w:color w:val="404040"/>
                <w:sz w:val="18"/>
                <w:szCs w:val="18"/>
              </w:rPr>
              <w:t>84</w:t>
            </w:r>
          </w:p>
        </w:tc>
        <w:tc>
          <w:tcPr>
            <w:tcW w:w="852" w:type="dxa"/>
            <w:noWrap w:val="0"/>
            <w:vAlign w:val="center"/>
          </w:tcPr>
          <w:p>
            <w:pPr>
              <w:autoSpaceDN w:val="0"/>
              <w:spacing w:line="400" w:lineRule="exact"/>
              <w:jc w:val="center"/>
              <w:rPr>
                <w:color w:val="404040"/>
                <w:sz w:val="18"/>
                <w:szCs w:val="18"/>
              </w:rPr>
            </w:pPr>
            <w:r>
              <w:rPr>
                <w:color w:val="404040"/>
                <w:sz w:val="18"/>
                <w:szCs w:val="18"/>
              </w:rPr>
              <w:t>85</w:t>
            </w:r>
          </w:p>
        </w:tc>
        <w:tc>
          <w:tcPr>
            <w:tcW w:w="852" w:type="dxa"/>
            <w:noWrap w:val="0"/>
            <w:vAlign w:val="center"/>
          </w:tcPr>
          <w:p>
            <w:pPr>
              <w:autoSpaceDN w:val="0"/>
              <w:spacing w:line="400" w:lineRule="exact"/>
              <w:jc w:val="center"/>
              <w:rPr>
                <w:color w:val="404040"/>
                <w:sz w:val="18"/>
                <w:szCs w:val="18"/>
              </w:rPr>
            </w:pPr>
            <w:r>
              <w:rPr>
                <w:color w:val="404040"/>
                <w:sz w:val="18"/>
                <w:szCs w:val="18"/>
              </w:rPr>
              <w:t>86</w:t>
            </w:r>
          </w:p>
        </w:tc>
        <w:tc>
          <w:tcPr>
            <w:tcW w:w="852" w:type="dxa"/>
            <w:noWrap w:val="0"/>
            <w:vAlign w:val="center"/>
          </w:tcPr>
          <w:p>
            <w:pPr>
              <w:autoSpaceDN w:val="0"/>
              <w:spacing w:line="400" w:lineRule="exact"/>
              <w:jc w:val="center"/>
              <w:rPr>
                <w:color w:val="404040"/>
                <w:sz w:val="18"/>
                <w:szCs w:val="18"/>
              </w:rPr>
            </w:pPr>
            <w:r>
              <w:rPr>
                <w:color w:val="404040"/>
                <w:sz w:val="18"/>
                <w:szCs w:val="18"/>
              </w:rPr>
              <w:t>87</w:t>
            </w:r>
          </w:p>
        </w:tc>
        <w:tc>
          <w:tcPr>
            <w:tcW w:w="852" w:type="dxa"/>
            <w:noWrap w:val="0"/>
            <w:vAlign w:val="center"/>
          </w:tcPr>
          <w:p>
            <w:pPr>
              <w:autoSpaceDN w:val="0"/>
              <w:spacing w:line="400" w:lineRule="exact"/>
              <w:jc w:val="center"/>
              <w:rPr>
                <w:color w:val="404040"/>
                <w:sz w:val="18"/>
                <w:szCs w:val="18"/>
              </w:rPr>
            </w:pPr>
            <w:r>
              <w:rPr>
                <w:color w:val="404040"/>
                <w:sz w:val="18"/>
                <w:szCs w:val="18"/>
              </w:rPr>
              <w:t>88</w:t>
            </w:r>
          </w:p>
        </w:tc>
        <w:tc>
          <w:tcPr>
            <w:tcW w:w="852" w:type="dxa"/>
            <w:noWrap w:val="0"/>
            <w:vAlign w:val="center"/>
          </w:tcPr>
          <w:p>
            <w:pPr>
              <w:autoSpaceDN w:val="0"/>
              <w:spacing w:line="400" w:lineRule="exact"/>
              <w:jc w:val="center"/>
              <w:rPr>
                <w:color w:val="404040"/>
                <w:sz w:val="18"/>
                <w:szCs w:val="18"/>
              </w:rPr>
            </w:pPr>
            <w:r>
              <w:rPr>
                <w:color w:val="404040"/>
                <w:sz w:val="18"/>
                <w:szCs w:val="18"/>
              </w:rPr>
              <w:t>89</w:t>
            </w:r>
          </w:p>
        </w:tc>
        <w:tc>
          <w:tcPr>
            <w:tcW w:w="852" w:type="dxa"/>
            <w:noWrap w:val="0"/>
            <w:vAlign w:val="center"/>
          </w:tcPr>
          <w:p>
            <w:pPr>
              <w:autoSpaceDN w:val="0"/>
              <w:spacing w:line="400" w:lineRule="exact"/>
              <w:jc w:val="center"/>
              <w:rPr>
                <w:color w:val="404040"/>
                <w:sz w:val="18"/>
                <w:szCs w:val="18"/>
              </w:rPr>
            </w:pPr>
            <w:r>
              <w:rPr>
                <w:color w:val="404040"/>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91</w:t>
            </w:r>
          </w:p>
        </w:tc>
        <w:tc>
          <w:tcPr>
            <w:tcW w:w="853" w:type="dxa"/>
            <w:noWrap w:val="0"/>
            <w:vAlign w:val="center"/>
          </w:tcPr>
          <w:p>
            <w:pPr>
              <w:autoSpaceDN w:val="0"/>
              <w:spacing w:line="400" w:lineRule="exact"/>
              <w:jc w:val="center"/>
              <w:rPr>
                <w:color w:val="404040"/>
                <w:sz w:val="18"/>
                <w:szCs w:val="18"/>
              </w:rPr>
            </w:pPr>
            <w:r>
              <w:rPr>
                <w:color w:val="404040"/>
                <w:sz w:val="18"/>
                <w:szCs w:val="18"/>
              </w:rPr>
              <w:t>92</w:t>
            </w:r>
          </w:p>
        </w:tc>
        <w:tc>
          <w:tcPr>
            <w:tcW w:w="852" w:type="dxa"/>
            <w:noWrap w:val="0"/>
            <w:vAlign w:val="center"/>
          </w:tcPr>
          <w:p>
            <w:pPr>
              <w:autoSpaceDN w:val="0"/>
              <w:spacing w:line="400" w:lineRule="exact"/>
              <w:jc w:val="center"/>
              <w:rPr>
                <w:color w:val="404040"/>
                <w:sz w:val="18"/>
                <w:szCs w:val="18"/>
              </w:rPr>
            </w:pPr>
            <w:r>
              <w:rPr>
                <w:color w:val="404040"/>
                <w:sz w:val="18"/>
                <w:szCs w:val="18"/>
              </w:rPr>
              <w:t>93</w:t>
            </w:r>
          </w:p>
        </w:tc>
        <w:tc>
          <w:tcPr>
            <w:tcW w:w="852" w:type="dxa"/>
            <w:noWrap w:val="0"/>
            <w:vAlign w:val="center"/>
          </w:tcPr>
          <w:p>
            <w:pPr>
              <w:autoSpaceDN w:val="0"/>
              <w:spacing w:line="400" w:lineRule="exact"/>
              <w:jc w:val="center"/>
              <w:rPr>
                <w:color w:val="404040"/>
                <w:sz w:val="18"/>
                <w:szCs w:val="18"/>
              </w:rPr>
            </w:pPr>
            <w:r>
              <w:rPr>
                <w:color w:val="404040"/>
                <w:sz w:val="18"/>
                <w:szCs w:val="18"/>
              </w:rPr>
              <w:t>94</w:t>
            </w:r>
          </w:p>
        </w:tc>
        <w:tc>
          <w:tcPr>
            <w:tcW w:w="852" w:type="dxa"/>
            <w:noWrap w:val="0"/>
            <w:vAlign w:val="center"/>
          </w:tcPr>
          <w:p>
            <w:pPr>
              <w:autoSpaceDN w:val="0"/>
              <w:spacing w:line="400" w:lineRule="exact"/>
              <w:jc w:val="center"/>
              <w:rPr>
                <w:color w:val="404040"/>
                <w:sz w:val="18"/>
                <w:szCs w:val="18"/>
              </w:rPr>
            </w:pPr>
            <w:r>
              <w:rPr>
                <w:color w:val="404040"/>
                <w:sz w:val="18"/>
                <w:szCs w:val="18"/>
              </w:rPr>
              <w:t>95</w:t>
            </w:r>
          </w:p>
        </w:tc>
        <w:tc>
          <w:tcPr>
            <w:tcW w:w="852" w:type="dxa"/>
            <w:noWrap w:val="0"/>
            <w:vAlign w:val="center"/>
          </w:tcPr>
          <w:p>
            <w:pPr>
              <w:autoSpaceDN w:val="0"/>
              <w:spacing w:line="400" w:lineRule="exact"/>
              <w:jc w:val="center"/>
              <w:rPr>
                <w:color w:val="404040"/>
                <w:sz w:val="18"/>
                <w:szCs w:val="18"/>
              </w:rPr>
            </w:pPr>
            <w:r>
              <w:rPr>
                <w:color w:val="404040"/>
                <w:sz w:val="18"/>
                <w:szCs w:val="18"/>
              </w:rPr>
              <w:t>96</w:t>
            </w:r>
          </w:p>
        </w:tc>
        <w:tc>
          <w:tcPr>
            <w:tcW w:w="852" w:type="dxa"/>
            <w:noWrap w:val="0"/>
            <w:vAlign w:val="center"/>
          </w:tcPr>
          <w:p>
            <w:pPr>
              <w:autoSpaceDN w:val="0"/>
              <w:spacing w:line="400" w:lineRule="exact"/>
              <w:jc w:val="center"/>
              <w:rPr>
                <w:color w:val="404040"/>
                <w:sz w:val="18"/>
                <w:szCs w:val="18"/>
              </w:rPr>
            </w:pPr>
            <w:r>
              <w:rPr>
                <w:color w:val="404040"/>
                <w:sz w:val="18"/>
                <w:szCs w:val="18"/>
              </w:rPr>
              <w:t>97</w:t>
            </w:r>
          </w:p>
        </w:tc>
        <w:tc>
          <w:tcPr>
            <w:tcW w:w="852" w:type="dxa"/>
            <w:noWrap w:val="0"/>
            <w:vAlign w:val="center"/>
          </w:tcPr>
          <w:p>
            <w:pPr>
              <w:autoSpaceDN w:val="0"/>
              <w:spacing w:line="400" w:lineRule="exact"/>
              <w:jc w:val="center"/>
              <w:rPr>
                <w:color w:val="404040"/>
                <w:sz w:val="18"/>
                <w:szCs w:val="18"/>
              </w:rPr>
            </w:pPr>
            <w:r>
              <w:rPr>
                <w:color w:val="404040"/>
                <w:sz w:val="18"/>
                <w:szCs w:val="18"/>
              </w:rPr>
              <w:t>98</w:t>
            </w:r>
          </w:p>
        </w:tc>
        <w:tc>
          <w:tcPr>
            <w:tcW w:w="852" w:type="dxa"/>
            <w:noWrap w:val="0"/>
            <w:vAlign w:val="center"/>
          </w:tcPr>
          <w:p>
            <w:pPr>
              <w:autoSpaceDN w:val="0"/>
              <w:spacing w:line="400" w:lineRule="exact"/>
              <w:jc w:val="center"/>
              <w:rPr>
                <w:color w:val="404040"/>
                <w:sz w:val="18"/>
                <w:szCs w:val="18"/>
              </w:rPr>
            </w:pPr>
            <w:r>
              <w:rPr>
                <w:color w:val="404040"/>
                <w:sz w:val="18"/>
                <w:szCs w:val="18"/>
              </w:rPr>
              <w:t>99</w:t>
            </w:r>
          </w:p>
        </w:tc>
        <w:tc>
          <w:tcPr>
            <w:tcW w:w="852" w:type="dxa"/>
            <w:noWrap w:val="0"/>
            <w:vAlign w:val="center"/>
          </w:tcPr>
          <w:p>
            <w:pPr>
              <w:autoSpaceDN w:val="0"/>
              <w:spacing w:line="400" w:lineRule="exact"/>
              <w:jc w:val="center"/>
              <w:rPr>
                <w:color w:val="404040"/>
                <w:sz w:val="18"/>
                <w:szCs w:val="18"/>
              </w:rPr>
            </w:pPr>
            <w:r>
              <w:rPr>
                <w:color w:val="40404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101</w:t>
            </w:r>
          </w:p>
        </w:tc>
        <w:tc>
          <w:tcPr>
            <w:tcW w:w="853" w:type="dxa"/>
            <w:noWrap w:val="0"/>
            <w:vAlign w:val="center"/>
          </w:tcPr>
          <w:p>
            <w:pPr>
              <w:autoSpaceDN w:val="0"/>
              <w:spacing w:line="400" w:lineRule="exact"/>
              <w:jc w:val="center"/>
              <w:rPr>
                <w:color w:val="404040"/>
                <w:sz w:val="18"/>
                <w:szCs w:val="18"/>
              </w:rPr>
            </w:pPr>
            <w:r>
              <w:rPr>
                <w:color w:val="404040"/>
                <w:sz w:val="18"/>
                <w:szCs w:val="18"/>
              </w:rPr>
              <w:t>102</w:t>
            </w:r>
          </w:p>
        </w:tc>
        <w:tc>
          <w:tcPr>
            <w:tcW w:w="852" w:type="dxa"/>
            <w:noWrap w:val="0"/>
            <w:vAlign w:val="center"/>
          </w:tcPr>
          <w:p>
            <w:pPr>
              <w:autoSpaceDN w:val="0"/>
              <w:spacing w:line="400" w:lineRule="exact"/>
              <w:jc w:val="center"/>
              <w:rPr>
                <w:color w:val="404040"/>
                <w:sz w:val="18"/>
                <w:szCs w:val="18"/>
              </w:rPr>
            </w:pPr>
            <w:r>
              <w:rPr>
                <w:color w:val="404040"/>
                <w:sz w:val="18"/>
                <w:szCs w:val="18"/>
              </w:rPr>
              <w:t>103</w:t>
            </w:r>
          </w:p>
        </w:tc>
        <w:tc>
          <w:tcPr>
            <w:tcW w:w="852" w:type="dxa"/>
            <w:noWrap w:val="0"/>
            <w:vAlign w:val="center"/>
          </w:tcPr>
          <w:p>
            <w:pPr>
              <w:autoSpaceDN w:val="0"/>
              <w:spacing w:line="400" w:lineRule="exact"/>
              <w:jc w:val="center"/>
              <w:rPr>
                <w:color w:val="404040"/>
                <w:sz w:val="18"/>
                <w:szCs w:val="18"/>
              </w:rPr>
            </w:pPr>
            <w:r>
              <w:rPr>
                <w:color w:val="404040"/>
                <w:sz w:val="18"/>
                <w:szCs w:val="18"/>
              </w:rPr>
              <w:t>104</w:t>
            </w:r>
          </w:p>
        </w:tc>
        <w:tc>
          <w:tcPr>
            <w:tcW w:w="852" w:type="dxa"/>
            <w:noWrap w:val="0"/>
            <w:vAlign w:val="center"/>
          </w:tcPr>
          <w:p>
            <w:pPr>
              <w:autoSpaceDN w:val="0"/>
              <w:spacing w:line="400" w:lineRule="exact"/>
              <w:jc w:val="center"/>
              <w:rPr>
                <w:color w:val="404040"/>
                <w:sz w:val="18"/>
                <w:szCs w:val="18"/>
              </w:rPr>
            </w:pPr>
            <w:r>
              <w:rPr>
                <w:color w:val="404040"/>
                <w:sz w:val="18"/>
                <w:szCs w:val="18"/>
              </w:rPr>
              <w:t>105</w:t>
            </w:r>
          </w:p>
        </w:tc>
        <w:tc>
          <w:tcPr>
            <w:tcW w:w="852" w:type="dxa"/>
            <w:noWrap w:val="0"/>
            <w:vAlign w:val="center"/>
          </w:tcPr>
          <w:p>
            <w:pPr>
              <w:autoSpaceDN w:val="0"/>
              <w:spacing w:line="400" w:lineRule="exact"/>
              <w:jc w:val="center"/>
              <w:rPr>
                <w:color w:val="404040"/>
                <w:sz w:val="18"/>
                <w:szCs w:val="18"/>
              </w:rPr>
            </w:pPr>
            <w:r>
              <w:rPr>
                <w:color w:val="404040"/>
                <w:sz w:val="18"/>
                <w:szCs w:val="18"/>
              </w:rPr>
              <w:t>106</w:t>
            </w:r>
          </w:p>
        </w:tc>
        <w:tc>
          <w:tcPr>
            <w:tcW w:w="852" w:type="dxa"/>
            <w:noWrap w:val="0"/>
            <w:vAlign w:val="center"/>
          </w:tcPr>
          <w:p>
            <w:pPr>
              <w:autoSpaceDN w:val="0"/>
              <w:spacing w:line="400" w:lineRule="exact"/>
              <w:jc w:val="center"/>
              <w:rPr>
                <w:color w:val="404040"/>
                <w:sz w:val="18"/>
                <w:szCs w:val="18"/>
              </w:rPr>
            </w:pPr>
            <w:r>
              <w:rPr>
                <w:color w:val="404040"/>
                <w:sz w:val="18"/>
                <w:szCs w:val="18"/>
              </w:rPr>
              <w:t>107</w:t>
            </w:r>
          </w:p>
        </w:tc>
        <w:tc>
          <w:tcPr>
            <w:tcW w:w="852" w:type="dxa"/>
            <w:noWrap w:val="0"/>
            <w:vAlign w:val="center"/>
          </w:tcPr>
          <w:p>
            <w:pPr>
              <w:autoSpaceDN w:val="0"/>
              <w:spacing w:line="400" w:lineRule="exact"/>
              <w:jc w:val="center"/>
              <w:rPr>
                <w:color w:val="404040"/>
                <w:sz w:val="18"/>
                <w:szCs w:val="18"/>
              </w:rPr>
            </w:pPr>
            <w:r>
              <w:rPr>
                <w:color w:val="404040"/>
                <w:sz w:val="18"/>
                <w:szCs w:val="18"/>
              </w:rPr>
              <w:t>108</w:t>
            </w:r>
          </w:p>
        </w:tc>
        <w:tc>
          <w:tcPr>
            <w:tcW w:w="852" w:type="dxa"/>
            <w:noWrap w:val="0"/>
            <w:vAlign w:val="center"/>
          </w:tcPr>
          <w:p>
            <w:pPr>
              <w:autoSpaceDN w:val="0"/>
              <w:spacing w:line="400" w:lineRule="exact"/>
              <w:jc w:val="center"/>
              <w:rPr>
                <w:color w:val="404040"/>
                <w:sz w:val="18"/>
                <w:szCs w:val="18"/>
              </w:rPr>
            </w:pPr>
            <w:r>
              <w:rPr>
                <w:color w:val="404040"/>
                <w:sz w:val="18"/>
                <w:szCs w:val="18"/>
              </w:rPr>
              <w:t>109</w:t>
            </w:r>
          </w:p>
        </w:tc>
        <w:tc>
          <w:tcPr>
            <w:tcW w:w="852" w:type="dxa"/>
            <w:noWrap w:val="0"/>
            <w:vAlign w:val="center"/>
          </w:tcPr>
          <w:p>
            <w:pPr>
              <w:autoSpaceDN w:val="0"/>
              <w:spacing w:line="400" w:lineRule="exact"/>
              <w:jc w:val="center"/>
              <w:rPr>
                <w:color w:val="404040"/>
                <w:sz w:val="18"/>
                <w:szCs w:val="18"/>
              </w:rPr>
            </w:pPr>
            <w:r>
              <w:rPr>
                <w:color w:val="404040"/>
                <w:sz w:val="18"/>
                <w:szCs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3"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B</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A</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C</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D</w:t>
            </w:r>
          </w:p>
        </w:tc>
        <w:tc>
          <w:tcPr>
            <w:tcW w:w="852" w:type="dxa"/>
            <w:noWrap w:val="0"/>
            <w:vAlign w:val="center"/>
          </w:tcPr>
          <w:p>
            <w:pPr>
              <w:autoSpaceDN w:val="0"/>
              <w:spacing w:line="400" w:lineRule="exact"/>
              <w:jc w:val="center"/>
              <w:rPr>
                <w:rFonts w:hint="default" w:eastAsia="宋体"/>
                <w:color w:val="404040"/>
                <w:sz w:val="18"/>
                <w:szCs w:val="18"/>
                <w:lang w:val="en-US" w:eastAsia="zh-CN"/>
              </w:rPr>
            </w:pPr>
            <w:r>
              <w:rPr>
                <w:rFonts w:hint="eastAsia"/>
                <w:color w:val="404040"/>
                <w:sz w:val="18"/>
                <w:szCs w:val="18"/>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3" w:type="dxa"/>
            <w:noWrap w:val="0"/>
            <w:vAlign w:val="center"/>
          </w:tcPr>
          <w:p>
            <w:pPr>
              <w:autoSpaceDN w:val="0"/>
              <w:spacing w:line="400" w:lineRule="exact"/>
              <w:jc w:val="center"/>
              <w:rPr>
                <w:color w:val="404040"/>
                <w:sz w:val="18"/>
                <w:szCs w:val="18"/>
              </w:rPr>
            </w:pPr>
            <w:r>
              <w:rPr>
                <w:color w:val="404040"/>
                <w:sz w:val="18"/>
                <w:szCs w:val="18"/>
              </w:rPr>
              <w:t>111</w:t>
            </w:r>
          </w:p>
        </w:tc>
        <w:tc>
          <w:tcPr>
            <w:tcW w:w="853" w:type="dxa"/>
            <w:noWrap w:val="0"/>
            <w:vAlign w:val="center"/>
          </w:tcPr>
          <w:p>
            <w:pPr>
              <w:autoSpaceDN w:val="0"/>
              <w:spacing w:line="400" w:lineRule="exact"/>
              <w:jc w:val="center"/>
              <w:rPr>
                <w:color w:val="404040"/>
                <w:sz w:val="18"/>
                <w:szCs w:val="18"/>
              </w:rPr>
            </w:pPr>
            <w:r>
              <w:rPr>
                <w:color w:val="404040"/>
                <w:sz w:val="18"/>
                <w:szCs w:val="18"/>
              </w:rPr>
              <w:t>112</w:t>
            </w:r>
          </w:p>
        </w:tc>
        <w:tc>
          <w:tcPr>
            <w:tcW w:w="852" w:type="dxa"/>
            <w:noWrap w:val="0"/>
            <w:vAlign w:val="center"/>
          </w:tcPr>
          <w:p>
            <w:pPr>
              <w:autoSpaceDN w:val="0"/>
              <w:spacing w:line="400" w:lineRule="exact"/>
              <w:jc w:val="center"/>
              <w:rPr>
                <w:color w:val="404040"/>
                <w:sz w:val="18"/>
                <w:szCs w:val="18"/>
              </w:rPr>
            </w:pPr>
            <w:r>
              <w:rPr>
                <w:color w:val="404040"/>
                <w:sz w:val="18"/>
                <w:szCs w:val="18"/>
              </w:rPr>
              <w:t>113</w:t>
            </w:r>
          </w:p>
        </w:tc>
        <w:tc>
          <w:tcPr>
            <w:tcW w:w="852" w:type="dxa"/>
            <w:noWrap w:val="0"/>
            <w:vAlign w:val="center"/>
          </w:tcPr>
          <w:p>
            <w:pPr>
              <w:autoSpaceDN w:val="0"/>
              <w:spacing w:line="400" w:lineRule="exact"/>
              <w:jc w:val="center"/>
              <w:rPr>
                <w:color w:val="404040"/>
                <w:sz w:val="18"/>
                <w:szCs w:val="18"/>
              </w:rPr>
            </w:pPr>
            <w:r>
              <w:rPr>
                <w:color w:val="404040"/>
                <w:sz w:val="18"/>
                <w:szCs w:val="18"/>
              </w:rPr>
              <w:t>114</w:t>
            </w:r>
          </w:p>
        </w:tc>
        <w:tc>
          <w:tcPr>
            <w:tcW w:w="852" w:type="dxa"/>
            <w:noWrap w:val="0"/>
            <w:vAlign w:val="center"/>
          </w:tcPr>
          <w:p>
            <w:pPr>
              <w:autoSpaceDN w:val="0"/>
              <w:spacing w:line="400" w:lineRule="exact"/>
              <w:jc w:val="center"/>
              <w:rPr>
                <w:color w:val="404040"/>
                <w:sz w:val="18"/>
                <w:szCs w:val="18"/>
              </w:rPr>
            </w:pPr>
            <w:r>
              <w:rPr>
                <w:color w:val="404040"/>
                <w:sz w:val="18"/>
                <w:szCs w:val="18"/>
              </w:rPr>
              <w:t>115</w:t>
            </w:r>
          </w:p>
        </w:tc>
        <w:tc>
          <w:tcPr>
            <w:tcW w:w="852" w:type="dxa"/>
            <w:noWrap w:val="0"/>
            <w:vAlign w:val="center"/>
          </w:tcPr>
          <w:p>
            <w:pPr>
              <w:autoSpaceDN w:val="0"/>
              <w:spacing w:line="400" w:lineRule="exact"/>
              <w:jc w:val="center"/>
              <w:rPr>
                <w:color w:val="404040"/>
                <w:sz w:val="18"/>
                <w:szCs w:val="18"/>
              </w:rPr>
            </w:pPr>
            <w:r>
              <w:rPr>
                <w:color w:val="404040"/>
                <w:sz w:val="18"/>
                <w:szCs w:val="18"/>
              </w:rPr>
              <w:t>116</w:t>
            </w:r>
          </w:p>
        </w:tc>
        <w:tc>
          <w:tcPr>
            <w:tcW w:w="852" w:type="dxa"/>
            <w:noWrap w:val="0"/>
            <w:vAlign w:val="center"/>
          </w:tcPr>
          <w:p>
            <w:pPr>
              <w:autoSpaceDN w:val="0"/>
              <w:spacing w:line="400" w:lineRule="exact"/>
              <w:jc w:val="center"/>
              <w:rPr>
                <w:color w:val="404040"/>
                <w:sz w:val="18"/>
                <w:szCs w:val="18"/>
              </w:rPr>
            </w:pPr>
            <w:r>
              <w:rPr>
                <w:color w:val="404040"/>
                <w:sz w:val="18"/>
                <w:szCs w:val="18"/>
              </w:rPr>
              <w:t>117</w:t>
            </w:r>
          </w:p>
        </w:tc>
        <w:tc>
          <w:tcPr>
            <w:tcW w:w="852" w:type="dxa"/>
            <w:noWrap w:val="0"/>
            <w:vAlign w:val="center"/>
          </w:tcPr>
          <w:p>
            <w:pPr>
              <w:autoSpaceDN w:val="0"/>
              <w:spacing w:line="400" w:lineRule="exact"/>
              <w:jc w:val="center"/>
              <w:rPr>
                <w:color w:val="404040"/>
                <w:sz w:val="18"/>
                <w:szCs w:val="18"/>
              </w:rPr>
            </w:pPr>
            <w:r>
              <w:rPr>
                <w:color w:val="404040"/>
                <w:sz w:val="18"/>
                <w:szCs w:val="18"/>
              </w:rPr>
              <w:t>118</w:t>
            </w:r>
          </w:p>
        </w:tc>
        <w:tc>
          <w:tcPr>
            <w:tcW w:w="852" w:type="dxa"/>
            <w:noWrap w:val="0"/>
            <w:vAlign w:val="center"/>
          </w:tcPr>
          <w:p>
            <w:pPr>
              <w:autoSpaceDN w:val="0"/>
              <w:spacing w:line="400" w:lineRule="exact"/>
              <w:jc w:val="center"/>
              <w:rPr>
                <w:color w:val="404040"/>
                <w:sz w:val="18"/>
                <w:szCs w:val="18"/>
              </w:rPr>
            </w:pPr>
            <w:r>
              <w:rPr>
                <w:color w:val="404040"/>
                <w:sz w:val="18"/>
                <w:szCs w:val="18"/>
              </w:rPr>
              <w:t>119</w:t>
            </w:r>
          </w:p>
        </w:tc>
        <w:tc>
          <w:tcPr>
            <w:tcW w:w="852" w:type="dxa"/>
            <w:noWrap w:val="0"/>
            <w:vAlign w:val="center"/>
          </w:tcPr>
          <w:p>
            <w:pPr>
              <w:autoSpaceDN w:val="0"/>
              <w:spacing w:line="400" w:lineRule="exact"/>
              <w:jc w:val="center"/>
              <w:rPr>
                <w:color w:val="404040"/>
                <w:sz w:val="18"/>
                <w:szCs w:val="18"/>
              </w:rPr>
            </w:pPr>
            <w:r>
              <w:rPr>
                <w:color w:val="404040"/>
                <w:sz w:val="18"/>
                <w:szCs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853"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ABCDE</w:t>
            </w:r>
          </w:p>
        </w:tc>
        <w:tc>
          <w:tcPr>
            <w:tcW w:w="853"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ABC</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ABCDE</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ABD</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CDE</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ABC</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ABCD</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ACD</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ABCDE</w:t>
            </w:r>
          </w:p>
        </w:tc>
        <w:tc>
          <w:tcPr>
            <w:tcW w:w="852" w:type="dxa"/>
            <w:noWrap w:val="0"/>
            <w:vAlign w:val="center"/>
          </w:tcPr>
          <w:p>
            <w:pPr>
              <w:autoSpaceDN w:val="0"/>
              <w:spacing w:line="400" w:lineRule="exact"/>
              <w:jc w:val="center"/>
              <w:rPr>
                <w:rFonts w:hint="default" w:ascii="Times New Roman" w:hAnsi="Times New Roman" w:eastAsia="宋体" w:cs="Times New Roman"/>
                <w:color w:val="404040"/>
                <w:sz w:val="18"/>
                <w:szCs w:val="18"/>
                <w:lang w:val="en-US" w:eastAsia="zh-CN"/>
              </w:rPr>
            </w:pPr>
            <w:r>
              <w:rPr>
                <w:rFonts w:hint="eastAsia" w:ascii="Times New Roman" w:hAnsi="Times New Roman" w:eastAsia="宋体" w:cs="Times New Roman"/>
                <w:color w:val="404040"/>
                <w:sz w:val="18"/>
                <w:szCs w:val="18"/>
                <w:lang w:eastAsia="zh-CN"/>
              </w:rPr>
              <w:t>BC</w:t>
            </w:r>
          </w:p>
        </w:tc>
      </w:tr>
    </w:tbl>
    <w:p>
      <w:pPr>
        <w:rPr>
          <w:rFonts w:hint="eastAsia" w:ascii="宋体" w:hAnsi="宋体" w:eastAsia="宋体" w:cs="宋体"/>
          <w:b w:val="0"/>
          <w:bCs w:val="0"/>
          <w:color w:val="auto"/>
          <w:sz w:val="21"/>
          <w:szCs w:val="21"/>
          <w:highlight w:val="none"/>
          <w:lang w:eastAsia="zh-CN"/>
        </w:rPr>
      </w:pPr>
    </w:p>
    <w:p>
      <w:pPr>
        <w:rPr>
          <w:rFonts w:hint="eastAsia"/>
          <w:lang w:eastAsia="zh-CN"/>
        </w:rPr>
      </w:pPr>
      <w:bookmarkStart w:id="0" w:name="_GoBack"/>
      <w:bookmarkEnd w:id="0"/>
    </w:p>
    <w:sectPr>
      <w:headerReference r:id="rId3" w:type="default"/>
      <w:pgSz w:w="11906" w:h="16838"/>
      <w:pgMar w:top="1440" w:right="1800" w:bottom="1440" w:left="1800" w:header="850"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column">
                <wp:posOffset>4243705</wp:posOffset>
              </wp:positionH>
              <wp:positionV relativeFrom="paragraph">
                <wp:posOffset>-10160</wp:posOffset>
              </wp:positionV>
              <wp:extent cx="1052195" cy="301625"/>
              <wp:effectExtent l="0" t="0" r="14605" b="3175"/>
              <wp:wrapNone/>
              <wp:docPr id="3" name="文本框 3"/>
              <wp:cNvGraphicFramePr/>
              <a:graphic xmlns:a="http://schemas.openxmlformats.org/drawingml/2006/main">
                <a:graphicData uri="http://schemas.microsoft.com/office/word/2010/wordprocessingShape">
                  <wps:wsp>
                    <wps:cNvSpPr txBox="1"/>
                    <wps:spPr>
                      <a:xfrm>
                        <a:off x="0" y="0"/>
                        <a:ext cx="1052195" cy="301625"/>
                      </a:xfrm>
                      <a:prstGeom prst="rect">
                        <a:avLst/>
                      </a:prstGeom>
                      <a:solidFill>
                        <a:srgbClr val="FFFFFF"/>
                      </a:solidFill>
                      <a:ln w="6350">
                        <a:noFill/>
                      </a:ln>
                      <a:effectLst/>
                    </wps:spPr>
                    <wps:txbx>
                      <w:txbxContent>
                        <w:p>
                          <w:pPr>
                            <w:jc w:val="center"/>
                            <w:rPr>
                              <w:rFonts w:ascii="微软雅黑" w:hAnsi="微软雅黑" w:eastAsia="微软雅黑" w:cs="微软雅黑"/>
                              <w:b/>
                              <w:bCs/>
                              <w:sz w:val="24"/>
                              <w:szCs w:val="32"/>
                            </w:rPr>
                          </w:pPr>
                          <w:r>
                            <w:rPr>
                              <w:rFonts w:hint="eastAsia" w:ascii="微软雅黑" w:hAnsi="微软雅黑" w:eastAsia="微软雅黑" w:cs="微软雅黑"/>
                              <w:b/>
                              <w:bCs/>
                              <w:sz w:val="24"/>
                              <w:szCs w:val="32"/>
                            </w:rPr>
                            <w:t>金英杰医学</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34.15pt;margin-top:-0.8pt;height:23.75pt;width:82.85pt;z-index:251661312;mso-width-relative:page;mso-height-relative:page;" fillcolor="#FFFFFF" filled="t" stroked="f" coordsize="21600,21600" o:gfxdata="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xABY1AAAAAgBAAAPAAAAAAAAAAEAIAAAACIAAABkcnMv&#10;ZG93bnJldi54bWxQSwECFAAUAAAACACHTuJAtxRBsEACAABbBAAADgAAAAAAAAABACAAAAAjAQAA&#10;ZHJzL2Uyb0RvYy54bWxQSwUGAAAAAAYABgBZAQAA1QUAAAAA&#10;">
              <v:fill on="t" focussize="0,0"/>
              <v:stroke on="f" weight="0.5pt"/>
              <v:imagedata o:title=""/>
              <o:lock v:ext="edit" aspectratio="f"/>
              <v:textbox>
                <w:txbxContent>
                  <w:p>
                    <w:pPr>
                      <w:jc w:val="center"/>
                      <w:rPr>
                        <w:rFonts w:ascii="微软雅黑" w:hAnsi="微软雅黑" w:eastAsia="微软雅黑" w:cs="微软雅黑"/>
                        <w:b/>
                        <w:bCs/>
                        <w:sz w:val="24"/>
                        <w:szCs w:val="32"/>
                      </w:rPr>
                    </w:pPr>
                    <w:r>
                      <w:rPr>
                        <w:rFonts w:hint="eastAsia" w:ascii="微软雅黑" w:hAnsi="微软雅黑" w:eastAsia="微软雅黑" w:cs="微软雅黑"/>
                        <w:b/>
                        <w:bCs/>
                        <w:sz w:val="24"/>
                        <w:szCs w:val="32"/>
                      </w:rPr>
                      <w:t>金英杰医学</w:t>
                    </w:r>
                  </w:p>
                </w:txbxContent>
              </v:textbox>
            </v:shape>
          </w:pict>
        </mc:Fallback>
      </mc:AlternateContent>
    </w:r>
    <w:r>
      <w:rPr>
        <w:rFonts w:hint="eastAsia"/>
      </w:rPr>
      <w:drawing>
        <wp:inline distT="0" distB="0" distL="114300" distR="114300">
          <wp:extent cx="1694180" cy="396240"/>
          <wp:effectExtent l="0" t="0" r="1270" b="3810"/>
          <wp:docPr id="1" name="图片 1" descr="金英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金英杰logo"/>
                  <pic:cNvPicPr>
                    <a:picLocks noChangeAspect="1"/>
                  </pic:cNvPicPr>
                </pic:nvPicPr>
                <pic:blipFill>
                  <a:blip r:embed="rId1"/>
                  <a:srcRect b="46809"/>
                  <a:stretch>
                    <a:fillRect/>
                  </a:stretch>
                </pic:blipFill>
                <pic:spPr>
                  <a:xfrm>
                    <a:off x="0" y="0"/>
                    <a:ext cx="1694180" cy="396240"/>
                  </a:xfrm>
                  <a:prstGeom prst="rect">
                    <a:avLst/>
                  </a:prstGeom>
                  <a:noFill/>
                  <a:ln w="9525">
                    <a:noFill/>
                  </a:ln>
                </pic:spPr>
              </pic:pic>
            </a:graphicData>
          </a:graphic>
        </wp:inline>
      </w:drawing>
    </w:r>
    <w:r>
      <w:pict>
        <v:shape id="PowerPlusWaterMarkObject35745" o:spid="_x0000_s4097"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v:path/>
          <v:fill on="t" opacity="32768f" focussize="0,0"/>
          <v:stroke on="f"/>
          <v:imagedata o:title=""/>
          <o:lock v:ext="edit" aspectratio="t"/>
          <v:textpath on="t" fitshape="t" fitpath="t" trim="t" xscale="f" string="金英杰名师" style="font-family:宋体;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EEA26"/>
    <w:multiLevelType w:val="singleLevel"/>
    <w:tmpl w:val="519EEA26"/>
    <w:lvl w:ilvl="0" w:tentative="0">
      <w:start w:val="10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63F"/>
    <w:rsid w:val="00133E52"/>
    <w:rsid w:val="0020063F"/>
    <w:rsid w:val="002B7EA9"/>
    <w:rsid w:val="004D656A"/>
    <w:rsid w:val="007653EF"/>
    <w:rsid w:val="007A2413"/>
    <w:rsid w:val="00F213E5"/>
    <w:rsid w:val="02BE3DA6"/>
    <w:rsid w:val="04802BD2"/>
    <w:rsid w:val="059157D5"/>
    <w:rsid w:val="087100EB"/>
    <w:rsid w:val="113A3E57"/>
    <w:rsid w:val="171812BD"/>
    <w:rsid w:val="17E7593C"/>
    <w:rsid w:val="19607DD3"/>
    <w:rsid w:val="1AA73C80"/>
    <w:rsid w:val="21C45CF9"/>
    <w:rsid w:val="26561F6D"/>
    <w:rsid w:val="2B460505"/>
    <w:rsid w:val="2D63318B"/>
    <w:rsid w:val="2E25332B"/>
    <w:rsid w:val="2FB778DE"/>
    <w:rsid w:val="31CB7275"/>
    <w:rsid w:val="329A52A2"/>
    <w:rsid w:val="33470924"/>
    <w:rsid w:val="34FC4239"/>
    <w:rsid w:val="36E5441A"/>
    <w:rsid w:val="3A823A8D"/>
    <w:rsid w:val="3E9F3E7D"/>
    <w:rsid w:val="4C5E3E58"/>
    <w:rsid w:val="4C8354A3"/>
    <w:rsid w:val="59332867"/>
    <w:rsid w:val="5CCB001F"/>
    <w:rsid w:val="5DA36013"/>
    <w:rsid w:val="5E4E3972"/>
    <w:rsid w:val="5FC75F7C"/>
    <w:rsid w:val="66CB5C37"/>
    <w:rsid w:val="681D3875"/>
    <w:rsid w:val="723E3342"/>
    <w:rsid w:val="76A87EA8"/>
    <w:rsid w:val="77937169"/>
    <w:rsid w:val="7DCE2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批注框文本 Char"/>
    <w:basedOn w:val="8"/>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37.bmp"/><Relationship Id="rId4" Type="http://schemas.openxmlformats.org/officeDocument/2006/relationships/theme" Target="theme/theme1.xml"/><Relationship Id="rId39" Type="http://schemas.openxmlformats.org/officeDocument/2006/relationships/image" Target="media/image36.bmp"/><Relationship Id="rId38" Type="http://schemas.openxmlformats.org/officeDocument/2006/relationships/image" Target="media/image35.png"/><Relationship Id="rId37" Type="http://schemas.openxmlformats.org/officeDocument/2006/relationships/image" Target="media/image34.bmp"/><Relationship Id="rId36" Type="http://schemas.openxmlformats.org/officeDocument/2006/relationships/image" Target="media/image33.bmp"/><Relationship Id="rId35" Type="http://schemas.openxmlformats.org/officeDocument/2006/relationships/image" Target="media/image32.bmp"/><Relationship Id="rId34" Type="http://schemas.openxmlformats.org/officeDocument/2006/relationships/image" Target="media/image31.bmp"/><Relationship Id="rId33" Type="http://schemas.openxmlformats.org/officeDocument/2006/relationships/image" Target="media/image30.bmp"/><Relationship Id="rId32" Type="http://schemas.openxmlformats.org/officeDocument/2006/relationships/image" Target="media/image29.bmp"/><Relationship Id="rId31" Type="http://schemas.openxmlformats.org/officeDocument/2006/relationships/image" Target="media/image28.bmp"/><Relationship Id="rId30" Type="http://schemas.openxmlformats.org/officeDocument/2006/relationships/image" Target="media/image27.png"/><Relationship Id="rId3" Type="http://schemas.openxmlformats.org/officeDocument/2006/relationships/header" Target="header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bmp"/><Relationship Id="rId16" Type="http://schemas.openxmlformats.org/officeDocument/2006/relationships/image" Target="media/image13.bmp"/><Relationship Id="rId15" Type="http://schemas.openxmlformats.org/officeDocument/2006/relationships/image" Target="media/image12.bmp"/><Relationship Id="rId14" Type="http://schemas.openxmlformats.org/officeDocument/2006/relationships/image" Target="media/image11.bmp"/><Relationship Id="rId13" Type="http://schemas.openxmlformats.org/officeDocument/2006/relationships/image" Target="media/image10.bmp"/><Relationship Id="rId12" Type="http://schemas.openxmlformats.org/officeDocument/2006/relationships/image" Target="media/image9.bmp"/><Relationship Id="rId11" Type="http://schemas.openxmlformats.org/officeDocument/2006/relationships/image" Target="media/image8.bmp"/><Relationship Id="rId10" Type="http://schemas.openxmlformats.org/officeDocument/2006/relationships/image" Target="media/image7.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2303</Words>
  <Characters>13132</Characters>
  <Lines>109</Lines>
  <Paragraphs>30</Paragraphs>
  <TotalTime>1</TotalTime>
  <ScaleCrop>false</ScaleCrop>
  <LinksUpToDate>false</LinksUpToDate>
  <CharactersWithSpaces>15405</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2018-10-29T06:57:00Z</dcterms:created>
  <dc:creator>Administrator</dc:creator>
  <cp:lastModifiedBy>赵静～Claire</cp:lastModifiedBy>
  <dcterms:modified xsi:type="dcterms:W3CDTF">2019-04-30T09:37:03Z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